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061A6D54"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00581AEF">
        <w:rPr>
          <w:rFonts w:ascii="Times New Roman" w:hAnsi="Times New Roman" w:cs="Times New Roman"/>
          <w:b/>
          <w:sz w:val="24"/>
          <w:szCs w:val="24"/>
          <w:shd w:val="clear" w:color="auto" w:fill="FFFFFF"/>
          <w:lang w:val="uk-UA" w:bidi="uk-UA"/>
        </w:rPr>
        <w:t xml:space="preserve"> </w:t>
      </w:r>
      <w:r w:rsidR="00581AEF" w:rsidRPr="00CD68C6">
        <w:rPr>
          <w:rFonts w:ascii="Times New Roman" w:hAnsi="Times New Roman" w:cs="Times New Roman"/>
          <w:b/>
          <w:bCs/>
          <w:sz w:val="24"/>
          <w:szCs w:val="24"/>
          <w:shd w:val="clear" w:color="auto" w:fill="FFFFFF"/>
          <w:lang w:val="uk-UA" w:bidi="uk-UA"/>
        </w:rPr>
        <w:t>(надалі – Покупець</w:t>
      </w:r>
      <w:r w:rsidR="00581AEF">
        <w:rPr>
          <w:rFonts w:ascii="Times New Roman" w:hAnsi="Times New Roman" w:cs="Times New Roman"/>
          <w:b/>
          <w:bCs/>
          <w:sz w:val="24"/>
          <w:szCs w:val="24"/>
          <w:shd w:val="clear" w:color="auto" w:fill="FFFFFF"/>
          <w:lang w:val="uk-UA" w:bidi="uk-UA"/>
        </w:rPr>
        <w:t>/Сторона 1</w:t>
      </w:r>
      <w:r w:rsidR="00581AEF" w:rsidRPr="00CD68C6">
        <w:rPr>
          <w:rFonts w:ascii="Times New Roman" w:hAnsi="Times New Roman" w:cs="Times New Roman"/>
          <w:b/>
          <w:bCs/>
          <w:sz w:val="24"/>
          <w:szCs w:val="24"/>
          <w:shd w:val="clear" w:color="auto" w:fill="FFFFFF"/>
          <w:lang w:val="uk-UA" w:bidi="uk-UA"/>
        </w:rPr>
        <w:t>)</w:t>
      </w:r>
      <w:r w:rsidRPr="00537007">
        <w:rPr>
          <w:rFonts w:ascii="Times New Roman" w:hAnsi="Times New Roman" w:cs="Times New Roman"/>
          <w:sz w:val="24"/>
          <w:szCs w:val="24"/>
          <w:shd w:val="clear" w:color="auto" w:fill="FFFFFF"/>
          <w:lang w:val="uk-UA" w:bidi="uk-UA"/>
        </w:rPr>
        <w:t xml:space="preserve">, в особі </w:t>
      </w:r>
      <w:r w:rsidR="005B3F29" w:rsidRPr="00B51F96">
        <w:rPr>
          <w:rFonts w:ascii="Times New Roman" w:hAnsi="Times New Roman" w:cs="Times New Roman"/>
          <w:sz w:val="24"/>
          <w:szCs w:val="24"/>
          <w:lang w:val="uk-UA" w:bidi="uk-UA"/>
        </w:rPr>
        <w:t>___________________________</w:t>
      </w:r>
      <w:r w:rsidR="005B3F29" w:rsidRPr="00537007">
        <w:rPr>
          <w:rFonts w:ascii="Times New Roman" w:hAnsi="Times New Roman" w:cs="Times New Roman"/>
          <w:sz w:val="24"/>
          <w:szCs w:val="24"/>
          <w:shd w:val="clear" w:color="auto" w:fill="FFFFFF"/>
          <w:lang w:val="uk-UA" w:bidi="uk-UA"/>
        </w:rPr>
        <w:t>, як</w:t>
      </w:r>
      <w:r w:rsidR="005B3F29">
        <w:rPr>
          <w:rFonts w:ascii="Times New Roman" w:hAnsi="Times New Roman" w:cs="Times New Roman"/>
          <w:sz w:val="24"/>
          <w:szCs w:val="24"/>
          <w:shd w:val="clear" w:color="auto" w:fill="FFFFFF"/>
          <w:lang w:val="uk-UA" w:bidi="uk-UA"/>
        </w:rPr>
        <w:t>__</w:t>
      </w:r>
      <w:r w:rsidR="005B3F29" w:rsidRPr="00537007">
        <w:rPr>
          <w:rFonts w:ascii="Times New Roman" w:hAnsi="Times New Roman" w:cs="Times New Roman"/>
          <w:sz w:val="24"/>
          <w:szCs w:val="24"/>
          <w:shd w:val="clear" w:color="auto" w:fill="FFFFFF"/>
          <w:lang w:val="uk-UA" w:bidi="uk-UA"/>
        </w:rPr>
        <w:t xml:space="preserve"> діє на підставі </w:t>
      </w:r>
      <w:r w:rsidR="005B3F29" w:rsidRPr="00B51F96">
        <w:rPr>
          <w:rFonts w:ascii="Times New Roman" w:hAnsi="Times New Roman" w:cs="Times New Roman"/>
          <w:sz w:val="24"/>
          <w:szCs w:val="24"/>
          <w:lang w:val="uk-UA" w:bidi="uk-UA"/>
        </w:rPr>
        <w:t>________________</w:t>
      </w:r>
      <w:r w:rsidRPr="00537007">
        <w:rPr>
          <w:rFonts w:ascii="Times New Roman" w:hAnsi="Times New Roman" w:cs="Times New Roman"/>
          <w:sz w:val="24"/>
          <w:szCs w:val="24"/>
          <w:shd w:val="clear" w:color="auto" w:fill="FFFFFF"/>
          <w:lang w:val="uk-UA" w:bidi="uk-UA"/>
        </w:rPr>
        <w:t xml:space="preserve">, з однієї сторони, та </w:t>
      </w:r>
    </w:p>
    <w:p w14:paraId="38E1D56A" w14:textId="43754D11" w:rsidR="00CD1086" w:rsidRPr="000B267C" w:rsidRDefault="00B418AE" w:rsidP="000B267C">
      <w:pPr>
        <w:spacing w:after="0" w:line="276" w:lineRule="auto"/>
        <w:ind w:left="-142" w:firstLine="708"/>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Pr>
          <w:rFonts w:ascii="Times New Roman" w:hAnsi="Times New Roman" w:cs="Times New Roman"/>
          <w:sz w:val="24"/>
          <w:szCs w:val="24"/>
          <w:lang w:val="uk-UA"/>
        </w:rPr>
        <w:t>_______________________________</w:t>
      </w:r>
      <w:r w:rsidR="000B267C">
        <w:rPr>
          <w:rFonts w:ascii="Times New Roman" w:hAnsi="Times New Roman" w:cs="Times New Roman"/>
          <w:sz w:val="24"/>
          <w:szCs w:val="24"/>
          <w:lang w:val="uk-UA"/>
        </w:rPr>
        <w:t xml:space="preserve"> </w:t>
      </w:r>
      <w:r w:rsidR="000B267C">
        <w:rPr>
          <w:rFonts w:ascii="Times New Roman" w:hAnsi="Times New Roman" w:cs="Times New Roman"/>
          <w:b/>
          <w:bCs/>
          <w:sz w:val="24"/>
          <w:szCs w:val="24"/>
          <w:lang w:val="uk-UA"/>
        </w:rPr>
        <w:t>(</w:t>
      </w:r>
      <w:r w:rsidR="000B267C" w:rsidRPr="00CD68C6">
        <w:rPr>
          <w:rFonts w:ascii="Times New Roman" w:hAnsi="Times New Roman" w:cs="Times New Roman"/>
          <w:b/>
          <w:bCs/>
          <w:sz w:val="24"/>
          <w:szCs w:val="24"/>
          <w:lang w:val="uk-UA"/>
        </w:rPr>
        <w:t xml:space="preserve">надалі </w:t>
      </w:r>
      <w:r w:rsidR="000B267C">
        <w:rPr>
          <w:rFonts w:ascii="Times New Roman" w:hAnsi="Times New Roman" w:cs="Times New Roman"/>
          <w:b/>
          <w:bCs/>
          <w:sz w:val="24"/>
          <w:szCs w:val="24"/>
          <w:lang w:val="uk-UA"/>
        </w:rPr>
        <w:t xml:space="preserve">– </w:t>
      </w:r>
      <w:r w:rsidR="000B267C">
        <w:rPr>
          <w:rFonts w:ascii="Times New Roman" w:hAnsi="Times New Roman" w:cs="Times New Roman"/>
          <w:b/>
          <w:bCs/>
          <w:sz w:val="24"/>
          <w:szCs w:val="24"/>
          <w:lang w:val="uk-UA"/>
        </w:rPr>
        <w:t xml:space="preserve"> </w:t>
      </w:r>
      <w:r w:rsidR="000B267C" w:rsidRPr="00CD68C6">
        <w:rPr>
          <w:rFonts w:ascii="Times New Roman" w:hAnsi="Times New Roman" w:cs="Times New Roman"/>
          <w:b/>
          <w:bCs/>
          <w:sz w:val="24"/>
          <w:szCs w:val="24"/>
          <w:lang w:val="uk-UA"/>
        </w:rPr>
        <w:t>Продавець</w:t>
      </w:r>
      <w:r w:rsidR="000B267C">
        <w:rPr>
          <w:rFonts w:ascii="Times New Roman" w:hAnsi="Times New Roman" w:cs="Times New Roman"/>
          <w:b/>
          <w:bCs/>
          <w:sz w:val="24"/>
          <w:szCs w:val="24"/>
          <w:lang w:val="uk-UA"/>
        </w:rPr>
        <w:t>/Сторона2)</w:t>
      </w:r>
      <w:r w:rsidR="00D83F91" w:rsidRPr="00D83F91">
        <w:rPr>
          <w:rFonts w:ascii="Times New Roman" w:hAnsi="Times New Roman" w:cs="Times New Roman"/>
          <w:sz w:val="24"/>
          <w:szCs w:val="24"/>
          <w:lang w:val="uk-UA"/>
        </w:rPr>
        <w:t>, який діє на підставі Статуту</w:t>
      </w:r>
      <w:r w:rsidR="000B267C">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2.2.Загальна вартість Товару</w:t>
      </w:r>
      <w:r w:rsidR="00CD3EDE" w:rsidRPr="52B93F69">
        <w:rPr>
          <w:rFonts w:ascii="Times New Roman" w:eastAsia="Times New Roman" w:hAnsi="Times New Roman" w:cs="Times New Roman"/>
          <w:color w:val="000000" w:themeColor="text1"/>
          <w:sz w:val="24"/>
          <w:szCs w:val="24"/>
          <w:lang w:eastAsia="ru-RU"/>
        </w:rPr>
        <w:t xml:space="preserve"> за цим Договором ск</w:t>
      </w:r>
      <w:r w:rsidR="00415FB6" w:rsidRPr="52B93F69">
        <w:rPr>
          <w:rFonts w:ascii="Times New Roman" w:eastAsia="Times New Roman" w:hAnsi="Times New Roman" w:cs="Times New Roman"/>
          <w:color w:val="000000" w:themeColor="text1"/>
          <w:sz w:val="24"/>
          <w:szCs w:val="24"/>
          <w:lang w:eastAsia="ru-RU"/>
        </w:rPr>
        <w:t>ладає</w:t>
      </w:r>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повагу до фундаментальних прав людини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співучасником порушень прав, зокрема жорстокого поводження з дітьми.</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використову</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дитячу працю або примусову працю та поважа</w:t>
      </w:r>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базові соціальні права та гарантовані умови праці.</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50C09DA2" w14:textId="77777777" w:rsidR="006E0474" w:rsidRDefault="006E0474" w:rsidP="006E0474">
      <w:pPr>
        <w:spacing w:after="0"/>
        <w:ind w:left="-142"/>
        <w:jc w:val="both"/>
        <w:rPr>
          <w:rFonts w:ascii="Times New Roman" w:hAnsi="Times New Roman" w:cs="Times New Roman"/>
          <w:color w:val="000000"/>
          <w:sz w:val="24"/>
          <w:szCs w:val="24"/>
          <w:shd w:val="clear" w:color="auto" w:fill="FFFFFF"/>
          <w:lang w:val="uk-UA"/>
        </w:rPr>
      </w:pPr>
    </w:p>
    <w:p w14:paraId="086C2B91" w14:textId="77777777" w:rsidR="006E0474" w:rsidRPr="009677D1" w:rsidRDefault="006E0474" w:rsidP="006E0474">
      <w:pPr>
        <w:spacing w:after="0"/>
        <w:ind w:left="2690" w:firstLine="850"/>
        <w:jc w:val="both"/>
        <w:rPr>
          <w:rFonts w:ascii="Times New Roman" w:hAnsi="Times New Roman" w:cs="Times New Roman"/>
          <w:b/>
          <w:bCs/>
          <w:color w:val="000000"/>
          <w:sz w:val="24"/>
          <w:szCs w:val="24"/>
          <w:shd w:val="clear" w:color="auto" w:fill="FFFFFF"/>
          <w:lang w:val="uk-UA"/>
        </w:rPr>
      </w:pPr>
      <w:r w:rsidRPr="009677D1">
        <w:rPr>
          <w:rFonts w:ascii="Times New Roman" w:hAnsi="Times New Roman" w:cs="Times New Roman"/>
          <w:b/>
          <w:bCs/>
          <w:color w:val="000000"/>
          <w:sz w:val="24"/>
          <w:szCs w:val="24"/>
          <w:shd w:val="clear" w:color="auto" w:fill="FFFFFF"/>
          <w:lang w:val="uk-UA"/>
        </w:rPr>
        <w:t>15. Запевнення та гарантії Сторін</w:t>
      </w:r>
    </w:p>
    <w:p w14:paraId="38D019BE"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15.1. Сторона 1 інформує, що закупівля (товарів, робіт та послуг) за цим Договором здійснюється за кошти Державного департаменту США (U.S. Department of State), у зв'язку із цим, Сторони проінформовані та погоджуються із наступним. </w:t>
      </w:r>
    </w:p>
    <w:p w14:paraId="22784D1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15.1.1. Сторона 1 керуючись положеннями  2 CFR 200.322, наскільки це практично можливо, відповідно до вимог тендерної документації, внутрішніх політик та вимог ТЧХУ, надає перевагу щодо купівлі, придбання або використання товарів, продуктів або матеріалів, вироблених у Сполучених Штатах (включаючи, але не обмежуючись, залізом, алюмінієм, сталлю, цементом та іншими виробами).</w:t>
      </w:r>
    </w:p>
    <w:p w14:paraId="7C33291F"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Для цілей цього пункту:</w:t>
      </w:r>
    </w:p>
    <w:p w14:paraId="51BD976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 «Виробляється у Сполучених Штатах» означає, що для залізних і сталевих виробів всі виробничі процеси — від початкової стадії плавлення до нанесення покриттів — відбувалися саме у Сполучених Штатах.</w:t>
      </w:r>
    </w:p>
    <w:p w14:paraId="7167128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(2) «Вироблені вироби» означають вироби та будівельні матеріали, що складаються повністю або частково з кольорових металів, таких як алюміній; пластики та полімерні вироби, такі як полівінілхлоридна трубка; заповнювачі, такі як бетон; скло, включаючи оптичне волокно; і деревини.</w:t>
      </w:r>
    </w:p>
    <w:p w14:paraId="1A3EAE65"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 xml:space="preserve">15.2. Сторони погоджуються, що вони зобов'язуються вживати належних заходів для дотримання та забезпечення поширення (flow-down) федеральних стандартів Уряду США, відповідно до вимог </w:t>
      </w:r>
      <w:hyperlink r:id="rId15" w:tooltip="Вихідна URL-адреса: https://www.ecfr.gov/current/title-2/subtitle-A/chapter-II/part-200/subpart-D/subject-group-ECFR45ddd4419ad436d. Клацніть або торкніться, якщо ви довіряєте цьому посиланню." w:history="1">
        <w:r w:rsidRPr="009677D1">
          <w:rPr>
            <w:rStyle w:val="ae"/>
            <w:rFonts w:ascii="Times New Roman" w:hAnsi="Times New Roman" w:cs="Times New Roman"/>
            <w:i/>
            <w:iCs/>
            <w:sz w:val="24"/>
            <w:szCs w:val="24"/>
            <w:shd w:val="clear" w:color="auto" w:fill="FFFFFF"/>
            <w:lang w:val="uk-UA"/>
          </w:rPr>
          <w:t>2 CFR 200.327</w:t>
        </w:r>
      </w:hyperlink>
      <w:r w:rsidRPr="009677D1">
        <w:rPr>
          <w:rFonts w:ascii="Times New Roman" w:hAnsi="Times New Roman" w:cs="Times New Roman"/>
          <w:i/>
          <w:iCs/>
          <w:color w:val="000000"/>
          <w:sz w:val="24"/>
          <w:szCs w:val="24"/>
          <w:shd w:val="clear" w:color="auto" w:fill="FFFFFF"/>
          <w:lang w:val="uk-UA"/>
        </w:rPr>
        <w:t xml:space="preserve">  </w:t>
      </w:r>
      <w:hyperlink r:id="rId16" w:tooltip="Вихідна URL-адреса: https://www.ecfr.gov/current/title-2/subtitle-A/chapter-II/part-200/appendix-Appendix%20II%20to%20Part%20200. Клацніть або торкніться, якщо ви довіряєте цьому посиланню." w:history="1">
        <w:r w:rsidRPr="009677D1">
          <w:rPr>
            <w:rStyle w:val="ae"/>
            <w:rFonts w:ascii="Times New Roman" w:hAnsi="Times New Roman" w:cs="Times New Roman"/>
            <w:i/>
            <w:iCs/>
            <w:sz w:val="24"/>
            <w:szCs w:val="24"/>
            <w:shd w:val="clear" w:color="auto" w:fill="FFFFFF"/>
            <w:lang w:val="uk-UA"/>
          </w:rPr>
          <w:t>Appendix II to Part 200</w:t>
        </w:r>
      </w:hyperlink>
      <w:r w:rsidRPr="009677D1">
        <w:rPr>
          <w:rFonts w:ascii="Times New Roman" w:hAnsi="Times New Roman" w:cs="Times New Roman"/>
          <w:i/>
          <w:iCs/>
          <w:color w:val="000000"/>
          <w:sz w:val="24"/>
          <w:szCs w:val="24"/>
          <w:shd w:val="clear" w:color="auto" w:fill="FFFFFF"/>
          <w:lang w:val="uk-UA"/>
        </w:rPr>
        <w:t xml:space="preserve">. Це включає, але не обмежується вимогами щодо боротьби з тероризмом; заборони іноземних безпілотних систем (ASDA); </w:t>
      </w:r>
      <w:r w:rsidRPr="009677D1">
        <w:rPr>
          <w:rFonts w:ascii="Times New Roman" w:hAnsi="Times New Roman" w:cs="Times New Roman"/>
          <w:color w:val="000000"/>
          <w:sz w:val="24"/>
          <w:szCs w:val="24"/>
          <w:shd w:val="clear" w:color="auto" w:fill="FFFFFF"/>
          <w:lang w:val="uk-UA"/>
        </w:rPr>
        <w:t xml:space="preserve">боротьби з торгівлею людьми (відповідно до Стандартних умов та положень щодо федеральних грантів, що розміщені за посиланням </w:t>
      </w:r>
      <w:hyperlink r:id="rId17" w:history="1">
        <w:r w:rsidRPr="009677D1">
          <w:rPr>
            <w:rStyle w:val="ae"/>
            <w:rFonts w:ascii="Times New Roman" w:hAnsi="Times New Roman" w:cs="Times New Roman"/>
            <w:sz w:val="24"/>
            <w:szCs w:val="24"/>
            <w:shd w:val="clear" w:color="auto" w:fill="FFFFFF"/>
            <w:lang w:val="uk-UA"/>
          </w:rPr>
          <w:t>https://www.state.gov/wp-content/uploads/2026/02/Final-FY26-Standard-Terms-and-Conditions-for-Federal-Awards-FINAL-HRC1259439-Accessible-2.6.pdf</w:t>
        </w:r>
      </w:hyperlink>
      <w:r w:rsidRPr="009677D1">
        <w:rPr>
          <w:rFonts w:ascii="Times New Roman" w:hAnsi="Times New Roman" w:cs="Times New Roman"/>
          <w:color w:val="000000"/>
          <w:sz w:val="24"/>
          <w:szCs w:val="24"/>
          <w:shd w:val="clear" w:color="auto" w:fill="FFFFFF"/>
          <w:lang w:val="uk-UA"/>
        </w:rPr>
        <w:t> ), а саме:</w:t>
      </w:r>
    </w:p>
    <w:p w14:paraId="71B51B26"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15.2.1. Заборона торгівлею людьми. </w:t>
      </w:r>
    </w:p>
    <w:p w14:paraId="4BDF856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Відповідно до цього Договору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цього договору та за період з 01.01.2026 по 31.12.2027 року або здійснювати дії, що безпосередньо підтримують або сприяють торгівлі людьми.</w:t>
      </w:r>
    </w:p>
    <w:p w14:paraId="590E93EB"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15.2.2. Під діями, що безпосередньо підтримують або сприяють торгівлі людьми слід вважати:</w:t>
      </w:r>
    </w:p>
    <w:p w14:paraId="1F4D78B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А) Знищення, приховування, вилучення, конфіскація або інше позбавлення співробітника доступу до його документів, що посвідчують особу або імміграційних документів;</w:t>
      </w:r>
    </w:p>
    <w:p w14:paraId="7A1DA06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lastRenderedPageBreak/>
        <w:t>Б) Ненадання працівнику зворотного транспорту або неоплата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w:t>
      </w:r>
    </w:p>
    <w:p w14:paraId="5D9EB28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Звільнення від вимоги забезпечити або оплатити таке зворотне транспортування федеральним департаментом або агентством (США), що надає або укладає грант або угоду про співпрацю; або</w:t>
      </w:r>
    </w:p>
    <w:p w14:paraId="2C32F613"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w:t>
      </w:r>
    </w:p>
    <w:p w14:paraId="3A17105E"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w:t>
      </w:r>
    </w:p>
    <w:p w14:paraId="21DBBB58"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Стягнення з найнятих працівників плати за працевлаштування або рекрутинг;</w:t>
      </w:r>
    </w:p>
    <w:p w14:paraId="05AEE69B"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Надання або організація житла, яке не відповідає житловим та безпековим стандартам країни перебування.</w:t>
      </w:r>
    </w:p>
    <w:p w14:paraId="21D16E4D"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15.3. </w:t>
      </w:r>
      <w:r w:rsidRPr="009677D1">
        <w:rPr>
          <w:rFonts w:ascii="Times New Roman" w:hAnsi="Times New Roman" w:cs="Times New Roman"/>
          <w:i/>
          <w:iCs/>
          <w:color w:val="000000"/>
          <w:sz w:val="24"/>
          <w:szCs w:val="24"/>
          <w:shd w:val="clear" w:color="auto" w:fill="FFFFFF"/>
          <w:lang w:val="uk-UA"/>
        </w:rPr>
        <w:t>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розділі 2331 розділу 18 Кодексу законів США. Відповідно, Сторони підтверджують, що вони не співпрацюють з такими особами та організаціями.</w:t>
      </w:r>
    </w:p>
    <w:p w14:paraId="7A8136F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15.4. Заборона іноземних безпілотних систем (ASDA)</w:t>
      </w:r>
    </w:p>
    <w:p w14:paraId="4A26AE5F"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Товариство Червоного Хреста України підтверджує та інформує, що воно: (1) не постачає будь-яку заборонену FASC безпілотну авіаційну систему, яка включає безпілотні літальні апарати (тобто дрони) та пов'язані з ними елементи (розділи 1823 та 1826 Pub. L. 118-31, 41 U.S.C. 3901 примітка); (2) Починаючи з 22 грудня 2025 року або пізніше, не експлуатує заборонену FASC безпілотну авіаційну систему для виконання угоди (розділ 1824 Pub. L. 118-31, 41 U.S.C. 3901 примітка); та (3) 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w:t>
      </w:r>
    </w:p>
    <w:p w14:paraId="48FC4A1A"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цього Договору  будь-якої безпілотної авіаційної системи здійснювати перевірку в системі SAM (</w:t>
      </w:r>
      <w:hyperlink r:id="rId18" w:history="1">
        <w:r w:rsidRPr="009677D1">
          <w:rPr>
            <w:rStyle w:val="ae"/>
            <w:rFonts w:ascii="Times New Roman" w:hAnsi="Times New Roman" w:cs="Times New Roman"/>
            <w:i/>
            <w:iCs/>
            <w:sz w:val="24"/>
            <w:szCs w:val="24"/>
            <w:shd w:val="clear" w:color="auto" w:fill="FFFFFF"/>
            <w:lang w:val="uk-UA"/>
          </w:rPr>
          <w:t>https://www.sam.gov</w:t>
        </w:r>
      </w:hyperlink>
      <w:r w:rsidRPr="009677D1">
        <w:rPr>
          <w:rFonts w:ascii="Times New Roman" w:hAnsi="Times New Roman" w:cs="Times New Roman"/>
          <w:i/>
          <w:iCs/>
          <w:color w:val="000000"/>
          <w:sz w:val="24"/>
          <w:szCs w:val="24"/>
          <w:shd w:val="clear" w:color="auto" w:fill="FFFFFF"/>
          <w:lang w:val="uk-UA"/>
        </w:rPr>
        <w:t>) щодо наявності виробників, постачальників або пов’язаних осіб у переліку іноземних суб’єктів, на який поширюється дія Закону про безпеку американських дронів (American Security Drone Act), що ведеться FASC.</w:t>
      </w:r>
    </w:p>
    <w:p w14:paraId="11B3AE40"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 </w:t>
      </w:r>
    </w:p>
    <w:p w14:paraId="353088D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15.5. Під час виконання цього Договору Сторона 2 погоджується наступне:</w:t>
      </w:r>
    </w:p>
    <w:p w14:paraId="21FDA34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 Сторона 2 не дискримінуватиме жодного працівника чи кандидата на працевлаштування через расу, колір шкіри, релігію, стать, сексуальну орієнтацію, гендерну ідентичність чи національне походження. Сторона 2 вживатиме позитивних дій, щоб забезпечити працевлаштування кандидатів і ставлення працівників під час працевлаштування незалежно від їхньої раси, кольору шкіри, релігії, статі, сексуальної орієнтації, гендерної ідентичності чи національного походження. Такі дії включають, але не обмежуються наступними:</w:t>
      </w:r>
    </w:p>
    <w:p w14:paraId="1A6D9D1B"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Працевлаштування, підвищення, пониження в посаді або переведення; реклама для рекрутингу або рекрутингу; звільнення або звільнення; ставки оплати праці або інші форми компенсації; та відбір для навчання, включаючи учнівство. Сторона 2 погоджується розміщувати повідомлення </w:t>
      </w:r>
      <w:r w:rsidRPr="009677D1">
        <w:rPr>
          <w:rFonts w:ascii="Times New Roman" w:hAnsi="Times New Roman" w:cs="Times New Roman"/>
          <w:color w:val="000000"/>
          <w:sz w:val="24"/>
          <w:szCs w:val="24"/>
          <w:shd w:val="clear" w:color="auto" w:fill="FFFFFF"/>
          <w:lang w:val="uk-UA"/>
        </w:rPr>
        <w:lastRenderedPageBreak/>
        <w:t>у помітних місцях, доступних для працівників і кандидатів на працевлаштування, повідомлення, що визначають положення цієї клаузули про недискримінацію.</w:t>
      </w:r>
    </w:p>
    <w:p w14:paraId="7A30E52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(2) Сторона 2 у всіх оголошеннях або оголошеннях для працівників, розміщених Стороною 2 або від його імені, зазначає, що всі кваліфіковані кандидати отримають розгляд для працевлаштування незалежно від раси, кольору шкіри, релігії, статі, сексуальної орієнтації, гендерної ідентичності чи національного походження.</w:t>
      </w:r>
    </w:p>
    <w:p w14:paraId="40D3186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(3) Сторона 2 не буде звільняти або будь-яким іншим чином дискримінувати будь-якого працівника чи заявника на працевлаштування лише тому, що такий працівник або заявник запитував, обговорював або розкривав компенсацію працівника, заявника або іншого працівника чи заявника. Ця норма не застосовується до випадків, коли працівник, який має доступ до інформації про компенсації інших працівників або кандидатів у рамках основних функцій такого працівника, розкриває винагороду таких інших працівників або заявників особам, які не мають іншого доступу до такої інформації, якщо таке розкриття не є відповіддю на офіційну скаргу або звинувачення, у рамках розслідування, провадження, слухання або дії, включаючи розслідування, проведене роботодавцем, або що відповідає юридичному обов'язку Сторони 2 надавати інформацію.</w:t>
      </w:r>
    </w:p>
    <w:p w14:paraId="7D5BF32B"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(4) Сторона 2 надсилає кожній профспілці або представнику працівників, з якими він має колективний договір або інший договір чи порозуміння, повідомлення з інформацією зазначеної профспілки або представників працівників про зобов'язання Сторони 2 відповідно до цього розділу, а також розміщує копії повідомлення у помітних місцях, доступних працівникам і претендентам на працевлаштування.</w:t>
      </w:r>
    </w:p>
    <w:p w14:paraId="4B8CAAF6"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(5) Сторона 2 повинна дотримуватися всіх положень Виконавчого наказу 11246 від 24 вересня 1965 року, а також правил, регламентів і відповідних наказів Секретаря праці.</w:t>
      </w:r>
    </w:p>
    <w:p w14:paraId="6E878066"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(6) Сторона 2 повинна надати всю інформацію та звіти, необхідні Виконавчим наказом 11246 від 24 вересня 1965 року, а також правилами, положеннями та наказами Секретаря праці або відповідно до них, і дозволить доступ до своїх книг, записів і рахунків адмініструючому агентству та Секретарю праці для цілей розслідування з метою встановлення відповідності цим правилам, Правила та накази.</w:t>
      </w:r>
    </w:p>
    <w:p w14:paraId="5F55AB8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(7) У разі недотримання Стороною 2 положень про недискримінацію цього Договору або будь-яких із зазначених правил, положень чи наказів, цей договір може бути скасований, розірваний або призупинений повністю або частково, і Сторона 2 може бути визнаний непридатним для подальших урядових Договорів або федерально підтриманих будівельних договорів відповідно до процедур, дозволених Виконавчим наказом 11246 від 24 вересня, 1965 року та інші санкції можуть бути застосовані та застосовувати засоби захисту, передбачені Виконавчим наказом 11246 від 24 вересня 1965 року, або правилами, регламентами чи наказом Секретаря праці, або як інакше передбачено законом.</w:t>
      </w:r>
    </w:p>
    <w:p w14:paraId="74A18E23"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(8) Сторона 2 включатиме частину речення, що безпосередньо передує пункту (1), та положення пунктів (1)–(8) у кожен субпідрядник або замовлення на купівлю, якщо це не звільнено правилами, положеннями або наказами Секретаря праці, виданими відповідно до розділу 204 Виконавчого наказу 11246 від 24 вересня 1965 року, щоб такі положення були обов'язковими для кожного субпідрядника або постачальника. Сторона 2 вжитиме такі дії щодо будь-якого субпідряду або замовлення на купівлю, які може вказати адмініструюче агентство, щоб забезпечити виконання таких положень, включаючи санкції за недотримання:</w:t>
      </w:r>
    </w:p>
    <w:p w14:paraId="74D6D4D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i/>
          <w:iCs/>
          <w:color w:val="000000"/>
          <w:sz w:val="24"/>
          <w:szCs w:val="24"/>
          <w:shd w:val="clear" w:color="auto" w:fill="FFFFFF"/>
          <w:lang w:val="uk-UA"/>
        </w:rPr>
        <w:t>За умови,</w:t>
      </w:r>
      <w:r w:rsidRPr="009677D1">
        <w:rPr>
          <w:rFonts w:ascii="Times New Roman" w:hAnsi="Times New Roman" w:cs="Times New Roman"/>
          <w:color w:val="000000"/>
          <w:sz w:val="24"/>
          <w:szCs w:val="24"/>
          <w:shd w:val="clear" w:color="auto" w:fill="FFFFFF"/>
          <w:lang w:val="uk-UA"/>
        </w:rPr>
        <w:t xml:space="preserve"> що якщо Сторона 2 опиниться втягнутою або їй загрожує судове розгляд із субпідрядником або постачальником внаслідок такої вказівки адмініструючого органу, Сторона 2 може звернутися до Сполучених Штатів з проханням вступити у такі судові процеси для захисту інтересів Сполучених Штатів.</w:t>
      </w:r>
    </w:p>
    <w:p w14:paraId="70B02D5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Сторона 2 також погоджується, що буде зобов'язана дотримуватися вищезазначеної умови про рівні можливості щодо власних практик працевлаштування при участі у будівництві з федеральною підтримкою: </w:t>
      </w:r>
      <w:r w:rsidRPr="009677D1">
        <w:rPr>
          <w:rFonts w:ascii="Times New Roman" w:hAnsi="Times New Roman" w:cs="Times New Roman"/>
          <w:i/>
          <w:iCs/>
          <w:color w:val="000000"/>
          <w:sz w:val="24"/>
          <w:szCs w:val="24"/>
          <w:shd w:val="clear" w:color="auto" w:fill="FFFFFF"/>
          <w:lang w:val="uk-UA"/>
        </w:rPr>
        <w:t>за умови,</w:t>
      </w:r>
      <w:r w:rsidRPr="009677D1">
        <w:rPr>
          <w:rFonts w:ascii="Times New Roman" w:hAnsi="Times New Roman" w:cs="Times New Roman"/>
          <w:color w:val="000000"/>
          <w:sz w:val="24"/>
          <w:szCs w:val="24"/>
          <w:shd w:val="clear" w:color="auto" w:fill="FFFFFF"/>
          <w:lang w:val="uk-UA"/>
        </w:rPr>
        <w:t xml:space="preserve"> що якщо заявник, який бере участь, є державним або </w:t>
      </w:r>
      <w:r w:rsidRPr="009677D1">
        <w:rPr>
          <w:rFonts w:ascii="Times New Roman" w:hAnsi="Times New Roman" w:cs="Times New Roman"/>
          <w:color w:val="000000"/>
          <w:sz w:val="24"/>
          <w:szCs w:val="24"/>
          <w:shd w:val="clear" w:color="auto" w:fill="FFFFFF"/>
          <w:lang w:val="uk-UA"/>
        </w:rPr>
        <w:lastRenderedPageBreak/>
        <w:t>місцевим органом влади, вищезазначене положення про рівні можливості не застосовується до будь-якого агентства, інструменту чи підрозділу такого уряду, яке не бере участі у роботі за Договором або за цим Договором.</w:t>
      </w:r>
    </w:p>
    <w:p w14:paraId="31C78E50"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Сторона 2 погоджується, що буде активно допомагати та співпрацювати з адмініструючим органом та Секретарем праці у забезпеченні дотримання підрядниками та субпідрядниками положення про рівні можливості, а також правил, регламентів і відповідних наказів Секретаря праці, що надасть адмініструючому агентству та Секретарю праці таку інформацію, яка їм може бути потрібна для контролю за відповідністю, а також що в іншому випадку він допомагатиме адмініструючому агентству у виконанні основних обов'язків агентства щодо забезпечення дотримання.</w:t>
      </w:r>
    </w:p>
    <w:p w14:paraId="4FAB5FB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Сторона 2 також погоджується, що утримується від укладання будь-яких змін Договору відповідно до Виконавчого наказу 11246 від 24 вересня 1965 року, коли підрядник, який не має права на урядові договори та федерально підтримані будівельні договори відповідно до Виконавчого наказу, або не довів права на участь, і буде застосовувати такі санкції та штрафи за порушення положення про рівні можливості, які можуть бути накладені на підрядників і субпідрядників адміністративного агентства або Секретаря праці відповідно до Частини II, підчастини D Виконавчого наказу. Крім того, заявник погоджується, що у разі невиконання або відмови виконати ці зобов'язання, адміністративний орган може вжити будь-яких або всіх наступних дій: Скасувати, припинити або повністю або частково призупинити це надання (договір, позика, страхування, гарантія); утриматися від надання будь-якої подальшої допомоги заявнику за програмою, щодо якої сталася невдача або повернення, доки не буде отримано задовільної гарантії майбутнього дотримання від такого заявника; та передати справу до Міністерства юстиції для відповідного судового розгляду.</w:t>
      </w:r>
    </w:p>
    <w:p w14:paraId="7C83C259"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15.5.1. </w:t>
      </w:r>
      <w:r w:rsidRPr="009677D1">
        <w:rPr>
          <w:rFonts w:ascii="Times New Roman" w:hAnsi="Times New Roman" w:cs="Times New Roman"/>
          <w:b/>
          <w:bCs/>
          <w:i/>
          <w:iCs/>
          <w:color w:val="000000"/>
          <w:sz w:val="24"/>
          <w:szCs w:val="24"/>
          <w:shd w:val="clear" w:color="auto" w:fill="FFFFFF"/>
          <w:lang w:val="uk-UA"/>
        </w:rPr>
        <w:t>Субпідрядники.</w:t>
      </w:r>
      <w:r w:rsidRPr="009677D1">
        <w:rPr>
          <w:rFonts w:ascii="Times New Roman" w:hAnsi="Times New Roman" w:cs="Times New Roman"/>
          <w:color w:val="000000"/>
          <w:sz w:val="24"/>
          <w:szCs w:val="24"/>
          <w:shd w:val="clear" w:color="auto" w:fill="FFFFFF"/>
          <w:lang w:val="uk-UA"/>
        </w:rPr>
        <w:t xml:space="preserve"> Кожен незвільнений головний підрядник або субпідрядник повинен включати пункт про рівні можливості у кожному зі своїх незвільнених субпідрядів.</w:t>
      </w:r>
    </w:p>
    <w:p w14:paraId="65C3CC7C"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5E2CCA">
        <w:rPr>
          <w:rFonts w:ascii="Times New Roman" w:hAnsi="Times New Roman" w:cs="Times New Roman"/>
          <w:color w:val="000000"/>
          <w:sz w:val="24"/>
          <w:szCs w:val="24"/>
          <w:shd w:val="clear" w:color="auto" w:fill="FFFFFF"/>
          <w:lang w:val="uk-UA"/>
        </w:rPr>
        <w:t xml:space="preserve">15.6. </w:t>
      </w:r>
      <w:r w:rsidRPr="009677D1">
        <w:rPr>
          <w:rFonts w:ascii="Times New Roman" w:hAnsi="Times New Roman" w:cs="Times New Roman"/>
          <w:color w:val="000000"/>
          <w:sz w:val="24"/>
          <w:szCs w:val="24"/>
          <w:shd w:val="clear" w:color="auto" w:fill="FFFFFF"/>
          <w:lang w:val="uk-UA"/>
        </w:rPr>
        <w:t>Коли це вимагає федеральне законодавство програми Сторони повинні дотримуватися Закону Девіса-Бейкона (</w:t>
      </w:r>
      <w:hyperlink r:id="rId19" w:tgtFrame="_blank" w:history="1">
        <w:r w:rsidRPr="009677D1">
          <w:rPr>
            <w:rStyle w:val="ae"/>
            <w:rFonts w:ascii="Times New Roman" w:hAnsi="Times New Roman" w:cs="Times New Roman"/>
            <w:sz w:val="24"/>
            <w:szCs w:val="24"/>
            <w:shd w:val="clear" w:color="auto" w:fill="FFFFFF"/>
            <w:lang w:val="uk-UA"/>
          </w:rPr>
          <w:t>40 U.S.C. 3141-3144</w:t>
        </w:r>
      </w:hyperlink>
      <w:r w:rsidRPr="009677D1">
        <w:rPr>
          <w:rFonts w:ascii="Times New Roman" w:hAnsi="Times New Roman" w:cs="Times New Roman"/>
          <w:color w:val="000000"/>
          <w:sz w:val="24"/>
          <w:szCs w:val="24"/>
          <w:shd w:val="clear" w:color="auto" w:fill="FFFFFF"/>
          <w:lang w:val="uk-UA"/>
        </w:rPr>
        <w:t xml:space="preserve"> та </w:t>
      </w:r>
      <w:hyperlink r:id="rId20" w:tgtFrame="_blank" w:history="1">
        <w:r w:rsidRPr="009677D1">
          <w:rPr>
            <w:rStyle w:val="ae"/>
            <w:rFonts w:ascii="Times New Roman" w:hAnsi="Times New Roman" w:cs="Times New Roman"/>
            <w:sz w:val="24"/>
            <w:szCs w:val="24"/>
            <w:shd w:val="clear" w:color="auto" w:fill="FFFFFF"/>
            <w:lang w:val="uk-UA"/>
          </w:rPr>
          <w:t>3146-3148</w:t>
        </w:r>
      </w:hyperlink>
      <w:r w:rsidRPr="009677D1">
        <w:rPr>
          <w:rFonts w:ascii="Times New Roman" w:hAnsi="Times New Roman" w:cs="Times New Roman"/>
          <w:color w:val="000000"/>
          <w:sz w:val="24"/>
          <w:szCs w:val="24"/>
          <w:shd w:val="clear" w:color="auto" w:fill="FFFFFF"/>
          <w:lang w:val="uk-UA"/>
        </w:rPr>
        <w:t>), доповнених правилами Міністерства праці (</w:t>
      </w:r>
      <w:hyperlink r:id="rId21" w:history="1">
        <w:r w:rsidRPr="009677D1">
          <w:rPr>
            <w:rStyle w:val="ae"/>
            <w:rFonts w:ascii="Times New Roman" w:hAnsi="Times New Roman" w:cs="Times New Roman"/>
            <w:sz w:val="24"/>
            <w:szCs w:val="24"/>
            <w:shd w:val="clear" w:color="auto" w:fill="FFFFFF"/>
            <w:lang w:val="uk-UA"/>
          </w:rPr>
          <w:t>29 CFR Частина 5</w:t>
        </w:r>
      </w:hyperlink>
      <w:r w:rsidRPr="009677D1">
        <w:rPr>
          <w:rFonts w:ascii="Times New Roman" w:hAnsi="Times New Roman" w:cs="Times New Roman"/>
          <w:color w:val="000000"/>
          <w:sz w:val="24"/>
          <w:szCs w:val="24"/>
          <w:shd w:val="clear" w:color="auto" w:fill="FFFFFF"/>
          <w:lang w:val="uk-UA"/>
        </w:rPr>
        <w:t>, «Положення про трудові стандарти, що застосовуються до договорів, що охоплюють федеральне фінансування та допоміжне будівництво») та Закону Copeland «Anti-Kickback» (</w:t>
      </w:r>
      <w:hyperlink r:id="rId22" w:tgtFrame="_blank" w:history="1">
        <w:r w:rsidRPr="009677D1">
          <w:rPr>
            <w:rStyle w:val="ae"/>
            <w:rFonts w:ascii="Times New Roman" w:hAnsi="Times New Roman" w:cs="Times New Roman"/>
            <w:sz w:val="24"/>
            <w:szCs w:val="24"/>
            <w:shd w:val="clear" w:color="auto" w:fill="FFFFFF"/>
            <w:lang w:val="uk-UA"/>
          </w:rPr>
          <w:t>40 U.S.C. 3145</w:t>
        </w:r>
      </w:hyperlink>
      <w:r w:rsidRPr="009677D1">
        <w:rPr>
          <w:rFonts w:ascii="Times New Roman" w:hAnsi="Times New Roman" w:cs="Times New Roman"/>
          <w:color w:val="000000"/>
          <w:sz w:val="24"/>
          <w:szCs w:val="24"/>
          <w:shd w:val="clear" w:color="auto" w:fill="FFFFFF"/>
          <w:lang w:val="uk-UA"/>
        </w:rPr>
        <w:t>), доповненого правилами Міністерства праці (</w:t>
      </w:r>
      <w:hyperlink r:id="rId23" w:history="1">
        <w:r w:rsidRPr="009677D1">
          <w:rPr>
            <w:rStyle w:val="ae"/>
            <w:rFonts w:ascii="Times New Roman" w:hAnsi="Times New Roman" w:cs="Times New Roman"/>
            <w:sz w:val="24"/>
            <w:szCs w:val="24"/>
            <w:shd w:val="clear" w:color="auto" w:fill="FFFFFF"/>
            <w:lang w:val="uk-UA"/>
          </w:rPr>
          <w:t>29 CFR Частина 3</w:t>
        </w:r>
      </w:hyperlink>
      <w:r w:rsidRPr="009677D1">
        <w:rPr>
          <w:rFonts w:ascii="Times New Roman" w:hAnsi="Times New Roman" w:cs="Times New Roman"/>
          <w:color w:val="000000"/>
          <w:sz w:val="24"/>
          <w:szCs w:val="24"/>
          <w:shd w:val="clear" w:color="auto" w:fill="FFFFFF"/>
          <w:lang w:val="uk-UA"/>
        </w:rPr>
        <w:t>, «Підрядники та субпідрядники на державних будівництвах або громадських роботах, фінансованих повністю або частково за рахунок позик чи грантів зі Сполучених Штатів»). Підряднику заборонено будь-яким чином змушувати будь-яку особу, зайняту будівництвом, завершенням або ремонтом об’єктів громадського призначення, відмовитися від будь-якої частини компенсації, на яку він або вона має право.</w:t>
      </w:r>
    </w:p>
    <w:p w14:paraId="2388B081"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15.7. Відповідно до 40 U.S.C. 3702 Закону, підрядник повинен розраховувати заробітну плату кожного механіка та робітника на основі стандартного робочого тижня тривалістю 40 годин. Робота, що перевищує стандартний робочий тиждень, допускається за умови, що працівник отримує компенсацію у розмірі не менше ніж півторакратну базову ставку оплати за всі години, відпрацьовані понад 40 годин у робочому тижні. Вимоги 40 U.S.C. 3704 передбачають, що від жодного робітника чи механіка не можна вимагати працювати в умовах або в обстановці, які є антисанітарними, шкідливими або небезпечними.</w:t>
      </w:r>
    </w:p>
    <w:p w14:paraId="4DE7F73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15.8. Відсторонення та заборона участі (Debarment and Suspension) (Виконавчі укази 12549 та 12689). Сторони гарантують та підтверджують, що вони не включені до загальнодержавного переліку виключень у Системі управління державними закупівлями  (System for Award Management, SAM), відповідно до настанов OMB, викладених у 2 CFR Part 180, які імплементують Виконавчі укази 12549 (3 CFR, Comp. 1986, с. 189) та 12689 (3 CFR, Comp. 1989, с. 235) «Відсторонення та заборона участі».</w:t>
      </w:r>
    </w:p>
    <w:p w14:paraId="5703D537"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 xml:space="preserve">Перелік виключень SAM (SAM Exclusions) містить найменування сторін, які були відсторонені, тимчасово відсторонені або іншим чином виключені федеральними органами, а також сторін, </w:t>
      </w:r>
      <w:r w:rsidRPr="009677D1">
        <w:rPr>
          <w:rFonts w:ascii="Times New Roman" w:hAnsi="Times New Roman" w:cs="Times New Roman"/>
          <w:color w:val="000000"/>
          <w:sz w:val="24"/>
          <w:szCs w:val="24"/>
          <w:shd w:val="clear" w:color="auto" w:fill="FFFFFF"/>
          <w:lang w:val="uk-UA"/>
        </w:rPr>
        <w:lastRenderedPageBreak/>
        <w:t>визнаних такими, що не мають права на участь, на підставі законодавчих чи нормативних актів, відмінних від Виконавчого указу 12549.</w:t>
      </w:r>
    </w:p>
    <w:p w14:paraId="49178FD2" w14:textId="77777777" w:rsidR="006E0474" w:rsidRPr="009677D1" w:rsidRDefault="006E0474" w:rsidP="006E0474">
      <w:pPr>
        <w:spacing w:after="0"/>
        <w:ind w:left="-142"/>
        <w:jc w:val="both"/>
        <w:rPr>
          <w:rFonts w:ascii="Times New Roman" w:hAnsi="Times New Roman" w:cs="Times New Roman"/>
          <w:color w:val="000000"/>
          <w:sz w:val="24"/>
          <w:szCs w:val="24"/>
          <w:shd w:val="clear" w:color="auto" w:fill="FFFFFF"/>
          <w:lang w:val="uk-UA"/>
        </w:rPr>
      </w:pPr>
      <w:r w:rsidRPr="009677D1">
        <w:rPr>
          <w:rFonts w:ascii="Times New Roman" w:hAnsi="Times New Roman" w:cs="Times New Roman"/>
          <w:color w:val="000000"/>
          <w:sz w:val="24"/>
          <w:szCs w:val="24"/>
          <w:shd w:val="clear" w:color="auto" w:fill="FFFFFF"/>
          <w:lang w:val="uk-UA"/>
        </w:rPr>
        <w:t>15.9. Поправка Берда щодо заборони лобіювання (Byrd Anti-Lobbying Amendment) (31 U.S.C. 1352). Засвідчення щодо анти-лобізму: Сторони засвідчують в міру своїх знань, що Федеральні кошти Сполучених Штатів в жодному випадку не були виплачені жодній особі за вплив або спробу вплинути на посадову особу чи співробітника будь якого агентства, члена Конгресу, на посадову особу чи співробітника Конгресу або співробітника члену Конгресу від її імені у зв'язку з укладенням будь якого федерального договору, в прийнятті будь якої федеральної позики або укладенням будь-якої угоди про співпрацю. Будь-яка сторона повинна розкрити ТЧХУ будь-який контакт з лобістом, який має така сторона або що відбувається стосовно цього Договору.</w:t>
      </w:r>
    </w:p>
    <w:p w14:paraId="636FBD5E" w14:textId="77777777" w:rsidR="006E0474" w:rsidRPr="00537007" w:rsidRDefault="006E0474" w:rsidP="001016C5">
      <w:pPr>
        <w:spacing w:after="0"/>
        <w:ind w:left="-142"/>
        <w:jc w:val="both"/>
        <w:rPr>
          <w:rFonts w:ascii="Times New Roman" w:hAnsi="Times New Roman" w:cs="Times New Roman"/>
          <w:color w:val="000000"/>
          <w:sz w:val="24"/>
          <w:szCs w:val="24"/>
          <w:shd w:val="clear" w:color="auto" w:fill="FFFFFF"/>
          <w:lang w:val="uk-UA"/>
        </w:rPr>
      </w:pPr>
    </w:p>
    <w:p w14:paraId="4C7AC5A9" w14:textId="5A8EB619"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sidR="006E0474">
        <w:rPr>
          <w:rFonts w:ascii="Times New Roman" w:hAnsi="Times New Roman" w:cs="Times New Roman"/>
          <w:b/>
          <w:color w:val="000000"/>
          <w:sz w:val="24"/>
          <w:szCs w:val="24"/>
          <w:shd w:val="clear" w:color="auto" w:fill="FFFFFF"/>
          <w:lang w:val="uk-UA"/>
        </w:rPr>
        <w:t>6</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w:t>
      </w:r>
      <w:r w:rsidR="00612AB7">
        <w:rPr>
          <w:rFonts w:ascii="Times New Roman" w:hAnsi="Times New Roman" w:cs="Times New Roman"/>
          <w:b/>
          <w:color w:val="000000"/>
          <w:sz w:val="24"/>
          <w:szCs w:val="24"/>
          <w:shd w:val="clear" w:color="auto" w:fill="FFFFFF"/>
          <w:lang w:val="uk-UA"/>
        </w:rPr>
        <w:t xml:space="preserve">та підписи </w:t>
      </w:r>
      <w:r w:rsidR="00CD1086" w:rsidRPr="00537007">
        <w:rPr>
          <w:rFonts w:ascii="Times New Roman" w:hAnsi="Times New Roman" w:cs="Times New Roman"/>
          <w:b/>
          <w:color w:val="000000"/>
          <w:sz w:val="24"/>
          <w:szCs w:val="24"/>
          <w:shd w:val="clear" w:color="auto" w:fill="FFFFFF"/>
          <w:lang w:val="uk-UA"/>
        </w:rPr>
        <w:t xml:space="preserve">сторін: </w:t>
      </w:r>
    </w:p>
    <w:tbl>
      <w:tblPr>
        <w:tblStyle w:val="a6"/>
        <w:tblW w:w="4997" w:type="pct"/>
        <w:tblLook w:val="04A0" w:firstRow="1" w:lastRow="0" w:firstColumn="1" w:lastColumn="0" w:noHBand="0" w:noVBand="1"/>
      </w:tblPr>
      <w:tblGrid>
        <w:gridCol w:w="4882"/>
        <w:gridCol w:w="4882"/>
      </w:tblGrid>
      <w:tr w:rsidR="00612AB7" w:rsidRPr="000242EC" w14:paraId="4C52F076" w14:textId="77777777" w:rsidTr="00994982">
        <w:tc>
          <w:tcPr>
            <w:tcW w:w="2500" w:type="pct"/>
          </w:tcPr>
          <w:p w14:paraId="26B8423A" w14:textId="5D450AB0" w:rsidR="00612AB7" w:rsidRPr="000242EC" w:rsidRDefault="00612AB7" w:rsidP="00612AB7">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r>
              <w:rPr>
                <w:rFonts w:ascii="Times New Roman" w:hAnsi="Times New Roman" w:cs="Times New Roman"/>
                <w:b/>
                <w:sz w:val="24"/>
                <w:szCs w:val="24"/>
                <w:shd w:val="clear" w:color="auto" w:fill="FFFFFF"/>
                <w:lang w:val="uk-UA" w:eastAsia="ru-RU"/>
              </w:rPr>
              <w:t>/Сторона1</w:t>
            </w:r>
          </w:p>
        </w:tc>
        <w:tc>
          <w:tcPr>
            <w:tcW w:w="2500" w:type="pct"/>
          </w:tcPr>
          <w:p w14:paraId="05D15FC0" w14:textId="77BBAD54" w:rsidR="00612AB7" w:rsidRPr="000242EC" w:rsidRDefault="00612AB7" w:rsidP="00612AB7">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r>
              <w:rPr>
                <w:rFonts w:ascii="Times New Roman" w:hAnsi="Times New Roman" w:cs="Times New Roman"/>
                <w:b/>
                <w:sz w:val="24"/>
                <w:szCs w:val="24"/>
                <w:shd w:val="clear" w:color="auto" w:fill="FFFFFF"/>
                <w:lang w:val="uk-UA" w:eastAsia="ru-RU"/>
              </w:rPr>
              <w:t>/Сторона2</w:t>
            </w:r>
          </w:p>
        </w:tc>
      </w:tr>
      <w:tr w:rsidR="000242EC" w:rsidRPr="000242EC" w14:paraId="3EDA48E6" w14:textId="77777777" w:rsidTr="00FF7A62">
        <w:trPr>
          <w:trHeight w:val="4402"/>
        </w:trPr>
        <w:tc>
          <w:tcPr>
            <w:tcW w:w="2500" w:type="pct"/>
          </w:tcPr>
          <w:p w14:paraId="6BF59A29"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482819B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56F876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62A95E6A"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169801F8"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0904B6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1AAA879D"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1B2164E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24" w:history="1">
              <w:r w:rsidRPr="008D06BA">
                <w:rPr>
                  <w:rStyle w:val="ae"/>
                  <w:rFonts w:ascii="Times New Roman" w:hAnsi="Times New Roman" w:cs="Times New Roman"/>
                  <w:sz w:val="24"/>
                  <w:szCs w:val="24"/>
                </w:rPr>
                <w:t>0800332656</w:t>
              </w:r>
            </w:hyperlink>
          </w:p>
          <w:p w14:paraId="6B28EE12"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1C4227EB" w14:textId="77777777" w:rsidR="00384FC2" w:rsidRPr="008D06BA" w:rsidRDefault="00384FC2" w:rsidP="00384FC2">
            <w:pPr>
              <w:jc w:val="both"/>
              <w:rPr>
                <w:rFonts w:ascii="Times New Roman" w:hAnsi="Times New Roman" w:cs="Times New Roman"/>
                <w:bCs/>
                <w:sz w:val="24"/>
                <w:szCs w:val="24"/>
              </w:rPr>
            </w:pPr>
          </w:p>
          <w:p w14:paraId="3102341E"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3C964342" w14:textId="77777777" w:rsidR="00384FC2" w:rsidRPr="008D06BA" w:rsidRDefault="00384FC2" w:rsidP="00384FC2">
            <w:pPr>
              <w:jc w:val="both"/>
              <w:rPr>
                <w:rFonts w:ascii="Times New Roman" w:hAnsi="Times New Roman" w:cs="Times New Roman"/>
                <w:b/>
                <w:sz w:val="24"/>
                <w:szCs w:val="24"/>
              </w:rPr>
            </w:pPr>
          </w:p>
          <w:p w14:paraId="24DFC30C" w14:textId="6B9F0514" w:rsidR="000242EC"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21AE3245"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w:t>
      </w:r>
      <w:r w:rsidR="005238DB">
        <w:rPr>
          <w:rFonts w:ascii="Times New Roman" w:hAnsi="Times New Roman" w:cs="Times New Roman"/>
          <w:b/>
          <w:color w:val="000000"/>
          <w:sz w:val="24"/>
          <w:szCs w:val="24"/>
          <w:shd w:val="clear" w:color="auto" w:fill="FFFFFF"/>
          <w:lang w:val="uk-UA"/>
        </w:rPr>
        <w:t>та підписи С</w:t>
      </w:r>
      <w:r w:rsidRPr="00537007">
        <w:rPr>
          <w:rFonts w:ascii="Times New Roman" w:hAnsi="Times New Roman" w:cs="Times New Roman"/>
          <w:b/>
          <w:color w:val="000000"/>
          <w:sz w:val="24"/>
          <w:szCs w:val="24"/>
          <w:shd w:val="clear" w:color="auto" w:fill="FFFFFF"/>
          <w:lang w:val="uk-UA"/>
        </w:rPr>
        <w:t xml:space="preserve">торін: </w:t>
      </w:r>
    </w:p>
    <w:tbl>
      <w:tblPr>
        <w:tblStyle w:val="a6"/>
        <w:tblW w:w="4997" w:type="pct"/>
        <w:tblLook w:val="04A0" w:firstRow="1" w:lastRow="0" w:firstColumn="1" w:lastColumn="0" w:noHBand="0" w:noVBand="1"/>
      </w:tblPr>
      <w:tblGrid>
        <w:gridCol w:w="4882"/>
        <w:gridCol w:w="4882"/>
      </w:tblGrid>
      <w:tr w:rsidR="005238DB" w:rsidRPr="000242EC" w14:paraId="078756AE" w14:textId="77777777" w:rsidTr="00A75FE9">
        <w:tc>
          <w:tcPr>
            <w:tcW w:w="2500" w:type="pct"/>
          </w:tcPr>
          <w:p w14:paraId="0078255B" w14:textId="6669309C" w:rsidR="005238DB" w:rsidRPr="000242EC" w:rsidRDefault="005238DB" w:rsidP="005238DB">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r>
              <w:rPr>
                <w:rFonts w:ascii="Times New Roman" w:hAnsi="Times New Roman" w:cs="Times New Roman"/>
                <w:b/>
                <w:sz w:val="24"/>
                <w:szCs w:val="24"/>
                <w:shd w:val="clear" w:color="auto" w:fill="FFFFFF"/>
                <w:lang w:val="uk-UA" w:eastAsia="ru-RU"/>
              </w:rPr>
              <w:t>/Сторона1</w:t>
            </w:r>
          </w:p>
        </w:tc>
        <w:tc>
          <w:tcPr>
            <w:tcW w:w="2500" w:type="pct"/>
          </w:tcPr>
          <w:p w14:paraId="1C3DBCF9" w14:textId="3DF9BB11" w:rsidR="005238DB" w:rsidRPr="000242EC" w:rsidRDefault="005238DB" w:rsidP="005238DB">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r>
              <w:rPr>
                <w:rFonts w:ascii="Times New Roman" w:hAnsi="Times New Roman" w:cs="Times New Roman"/>
                <w:b/>
                <w:sz w:val="24"/>
                <w:szCs w:val="24"/>
                <w:shd w:val="clear" w:color="auto" w:fill="FFFFFF"/>
                <w:lang w:val="uk-UA" w:eastAsia="ru-RU"/>
              </w:rPr>
              <w:t>/Сторона2</w:t>
            </w:r>
          </w:p>
        </w:tc>
      </w:tr>
      <w:tr w:rsidR="00415FB6" w:rsidRPr="000242EC" w14:paraId="159DD2D1" w14:textId="77777777" w:rsidTr="00A75FE9">
        <w:trPr>
          <w:trHeight w:val="4402"/>
        </w:trPr>
        <w:tc>
          <w:tcPr>
            <w:tcW w:w="2500" w:type="pct"/>
          </w:tcPr>
          <w:p w14:paraId="314838D0" w14:textId="77777777" w:rsidR="00384FC2" w:rsidRPr="008D06BA" w:rsidRDefault="00384FC2" w:rsidP="00384FC2">
            <w:pPr>
              <w:jc w:val="both"/>
              <w:rPr>
                <w:rFonts w:ascii="Times New Roman" w:hAnsi="Times New Roman" w:cs="Times New Roman"/>
                <w:b/>
                <w:sz w:val="24"/>
                <w:szCs w:val="24"/>
              </w:rPr>
            </w:pPr>
            <w:r w:rsidRPr="008D06BA">
              <w:rPr>
                <w:rFonts w:ascii="Times New Roman" w:hAnsi="Times New Roman" w:cs="Times New Roman"/>
                <w:b/>
                <w:sz w:val="24"/>
                <w:szCs w:val="24"/>
              </w:rPr>
              <w:t>Товариство Червоного Хреста України</w:t>
            </w:r>
          </w:p>
          <w:p w14:paraId="3AB853A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4C6E5AE7"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Адреса: Україна, 01024,  м. Київ,</w:t>
            </w:r>
          </w:p>
          <w:p w14:paraId="40A227F6"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вул. Є. Чикаленка, 30</w:t>
            </w:r>
          </w:p>
          <w:p w14:paraId="27E3CC4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691FA2D1"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7DB61785"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4DB14339"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25" w:history="1">
              <w:r w:rsidRPr="008D06BA">
                <w:rPr>
                  <w:rStyle w:val="ae"/>
                  <w:rFonts w:ascii="Times New Roman" w:hAnsi="Times New Roman" w:cs="Times New Roman"/>
                  <w:sz w:val="24"/>
                  <w:szCs w:val="24"/>
                </w:rPr>
                <w:t>0800332656</w:t>
              </w:r>
            </w:hyperlink>
          </w:p>
          <w:p w14:paraId="246CCFEE" w14:textId="77777777" w:rsidR="00384FC2" w:rsidRPr="008D06BA" w:rsidRDefault="00384FC2" w:rsidP="00384FC2">
            <w:pPr>
              <w:jc w:val="both"/>
              <w:rPr>
                <w:rFonts w:ascii="Times New Roman" w:hAnsi="Times New Roman" w:cs="Times New Roman"/>
                <w:bCs/>
                <w:sz w:val="24"/>
                <w:szCs w:val="24"/>
              </w:rPr>
            </w:pPr>
            <w:r w:rsidRPr="008D06BA">
              <w:rPr>
                <w:rFonts w:ascii="Times New Roman" w:hAnsi="Times New Roman" w:cs="Times New Roman"/>
                <w:bCs/>
                <w:sz w:val="24"/>
                <w:szCs w:val="24"/>
              </w:rPr>
              <w:t>Не є платником податку на підставі ст. 133 Податкового кодексу України</w:t>
            </w:r>
          </w:p>
          <w:p w14:paraId="7D71985A" w14:textId="77777777" w:rsidR="00384FC2" w:rsidRPr="008D06BA" w:rsidRDefault="00384FC2" w:rsidP="00384FC2">
            <w:pPr>
              <w:jc w:val="both"/>
              <w:rPr>
                <w:rFonts w:ascii="Times New Roman" w:hAnsi="Times New Roman" w:cs="Times New Roman"/>
                <w:bCs/>
                <w:sz w:val="24"/>
                <w:szCs w:val="24"/>
              </w:rPr>
            </w:pPr>
          </w:p>
          <w:p w14:paraId="09EEAC0F" w14:textId="77777777" w:rsidR="00384FC2" w:rsidRPr="008D06BA" w:rsidRDefault="00384FC2" w:rsidP="00384FC2">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244B7C90" w14:textId="77777777" w:rsidR="00384FC2" w:rsidRPr="008D06BA" w:rsidRDefault="00384FC2" w:rsidP="00384FC2">
            <w:pPr>
              <w:jc w:val="both"/>
              <w:rPr>
                <w:rFonts w:ascii="Times New Roman" w:hAnsi="Times New Roman" w:cs="Times New Roman"/>
                <w:b/>
                <w:sz w:val="24"/>
                <w:szCs w:val="24"/>
              </w:rPr>
            </w:pPr>
          </w:p>
          <w:p w14:paraId="523F4E88" w14:textId="7EF6743B" w:rsidR="00415FB6" w:rsidRPr="000242EC" w:rsidRDefault="00384FC2" w:rsidP="00384FC2">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26"/>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D4324" w14:textId="77777777" w:rsidR="004F4387" w:rsidRDefault="004F4387" w:rsidP="00A27E3D">
      <w:pPr>
        <w:spacing w:after="0" w:line="240" w:lineRule="auto"/>
      </w:pPr>
      <w:r>
        <w:separator/>
      </w:r>
    </w:p>
  </w:endnote>
  <w:endnote w:type="continuationSeparator" w:id="0">
    <w:p w14:paraId="1C8E3BA2" w14:textId="77777777" w:rsidR="004F4387" w:rsidRDefault="004F4387"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5BE6" w14:textId="77777777" w:rsidR="004F4387" w:rsidRDefault="004F4387" w:rsidP="00A27E3D">
      <w:pPr>
        <w:spacing w:after="0" w:line="240" w:lineRule="auto"/>
      </w:pPr>
      <w:r>
        <w:separator/>
      </w:r>
    </w:p>
  </w:footnote>
  <w:footnote w:type="continuationSeparator" w:id="0">
    <w:p w14:paraId="6A5055EA" w14:textId="77777777" w:rsidR="004F4387" w:rsidRDefault="004F4387"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267C"/>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E7049"/>
    <w:rsid w:val="002F1F39"/>
    <w:rsid w:val="002F3505"/>
    <w:rsid w:val="002F6263"/>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4FC2"/>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C56A0"/>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4F4387"/>
    <w:rsid w:val="00510086"/>
    <w:rsid w:val="00511AE9"/>
    <w:rsid w:val="00512168"/>
    <w:rsid w:val="00512592"/>
    <w:rsid w:val="005137F1"/>
    <w:rsid w:val="00513D5D"/>
    <w:rsid w:val="0051472F"/>
    <w:rsid w:val="005238DB"/>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1AEF"/>
    <w:rsid w:val="00582650"/>
    <w:rsid w:val="005854E1"/>
    <w:rsid w:val="005926AE"/>
    <w:rsid w:val="005A0AD4"/>
    <w:rsid w:val="005A0D63"/>
    <w:rsid w:val="005A0EF6"/>
    <w:rsid w:val="005A4F37"/>
    <w:rsid w:val="005A5171"/>
    <w:rsid w:val="005B1400"/>
    <w:rsid w:val="005B3F29"/>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2AB7"/>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7E6E"/>
    <w:rsid w:val="006C2204"/>
    <w:rsid w:val="006D0855"/>
    <w:rsid w:val="006D0AEC"/>
    <w:rsid w:val="006D1563"/>
    <w:rsid w:val="006D1F71"/>
    <w:rsid w:val="006D3890"/>
    <w:rsid w:val="006D3A64"/>
    <w:rsid w:val="006D5F24"/>
    <w:rsid w:val="006D6E85"/>
    <w:rsid w:val="006D737E"/>
    <w:rsid w:val="006E0474"/>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1305"/>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5F1A"/>
    <w:rsid w:val="00D26CC3"/>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hyperlink" Target="https://www.sam.go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cfr.gov/current/title-29/part-5" TargetMode="Externa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yperlink" Target="https://www.state.gov/wp-content/uploads/2026/02/Final-FY26-Standard-Terms-and-Conditions-for-Federal-Awards-FINAL-HRC1259439-Accessible-2.6.pdf" TargetMode="External"/><Relationship Id="rId25" Type="http://schemas.openxmlformats.org/officeDocument/2006/relationships/hyperlink" Target="tel:0%20800%20332%20656" TargetMode="External"/><Relationship Id="rId2" Type="http://schemas.openxmlformats.org/officeDocument/2006/relationships/customXml" Target="../customXml/item2.xml"/><Relationship Id="rId16" Type="http://schemas.openxmlformats.org/officeDocument/2006/relationships/hyperlink" Target="https://eur01.safelinks.protection.outlook.com/?url=https%3A%2F%2Fwww.ecfr.gov%2Fcurrent%2Ftitle-2%2Fsubtitle-A%2Fchapter-II%2Fpart-200%2Fappendix-Appendix%2520II%2520to%2520Part%2520200&amp;data=05%7C02%7Co.bohushevych%40redcross.org.ua%7Cd781b673d3e14e6eabe808de8fb959f3%7Cccc765de099049d4a80f294e28a1f923%7C0%7C0%7C639106223401062847%7CUnknown%7CTWFpbGZsb3d8eyJFbXB0eU1hcGkiOnRydWUsIlYiOiIwLjAuMDAwMCIsIlAiOiJXaW4zMiIsIkFOIjoiTWFpbCIsIldUIjoyfQ%3D%3D%7C0%7C%7C%7C&amp;sdata=fuM9xpx%2BTx6748iUyjIvGZlryn5PjUwi3y9ymuo1m0k%3D&amp;reserved=0" TargetMode="External"/><Relationship Id="rId20" Type="http://schemas.openxmlformats.org/officeDocument/2006/relationships/hyperlink" Target="https://www.govinfo.gov/link/uscode/40/314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24" Type="http://schemas.openxmlformats.org/officeDocument/2006/relationships/hyperlink" Target="tel:0%20800%20332%20656" TargetMode="External"/><Relationship Id="rId5" Type="http://schemas.openxmlformats.org/officeDocument/2006/relationships/numbering" Target="numbering.xml"/><Relationship Id="rId15" Type="http://schemas.openxmlformats.org/officeDocument/2006/relationships/hyperlink" Target="https://eur01.safelinks.protection.outlook.com/?url=https%3A%2F%2Fwww.ecfr.gov%2Fcurrent%2Ftitle-2%2Fsubtitle-A%2Fchapter-II%2Fpart-200%2Fsubpart-D%2Fsubject-group-ECFR45ddd4419ad436d&amp;data=05%7C02%7Co.bohushevych%40redcross.org.ua%7Cd781b673d3e14e6eabe808de8fb959f3%7Cccc765de099049d4a80f294e28a1f923%7C0%7C0%7C639106223401041549%7CUnknown%7CTWFpbGZsb3d8eyJFbXB0eU1hcGkiOnRydWUsIlYiOiIwLjAuMDAwMCIsIlAiOiJXaW4zMiIsIkFOIjoiTWFpbCIsIldUIjoyfQ%3D%3D%7C0%7C%7C%7C&amp;sdata=7EfW1dHGtlQzDBibXvRZ9qprp9usj7BHeRXAbMSN5U8%3D&amp;reserved=0" TargetMode="External"/><Relationship Id="rId23" Type="http://schemas.openxmlformats.org/officeDocument/2006/relationships/hyperlink" Target="https://www.ecfr.gov/current/title-29/part-3"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info.gov/link/uscode/40/314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 Id="rId22" Type="http://schemas.openxmlformats.org/officeDocument/2006/relationships/hyperlink" Target="https://www.govinfo.gov/link/uscode/40/3145"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customXml/itemProps4.xml><?xml version="1.0" encoding="utf-8"?>
<ds:datastoreItem xmlns:ds="http://schemas.openxmlformats.org/officeDocument/2006/customXml" ds:itemID="{75A2B946-C49D-4DDF-8C61-61C8A52E5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32638</Words>
  <Characters>18604</Characters>
  <Application>Microsoft Office Word</Application>
  <DocSecurity>0</DocSecurity>
  <Lines>155</Lines>
  <Paragraphs>102</Paragraphs>
  <ScaleCrop>false</ScaleCrop>
  <Company/>
  <LinksUpToDate>false</LinksUpToDate>
  <CharactersWithSpaces>51140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36</cp:revision>
  <cp:lastPrinted>2022-09-08T12:09:00Z</cp:lastPrinted>
  <dcterms:created xsi:type="dcterms:W3CDTF">2024-10-29T14:50:00Z</dcterms:created>
  <dcterms:modified xsi:type="dcterms:W3CDTF">2026-09-23T11:55:00Z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