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0334BBB9"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30A64CD6"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4F60AF31"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9C647D">
        <w:rPr>
          <w:rFonts w:ascii="Arial" w:hAnsi="Arial" w:cs="Arial"/>
          <w:b/>
          <w:color w:val="000000"/>
          <w:sz w:val="20"/>
          <w:szCs w:val="20"/>
          <w:lang w:val="uk-UA"/>
        </w:rPr>
        <w:t>6</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lastRenderedPageBreak/>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по оплаті будь-яких платежів, які передбачені цим Договором вважатимуться виконаними з дати списання грошових коштів з поточного рахунку </w:t>
      </w:r>
      <w:r w:rsidRPr="00553AEA">
        <w:rPr>
          <w:rFonts w:ascii="Arial" w:hAnsi="Arial" w:cs="Arial"/>
          <w:color w:val="000000"/>
          <w:sz w:val="20"/>
          <w:szCs w:val="20"/>
          <w:lang w:val="uk-UA"/>
        </w:rPr>
        <w:lastRenderedPageBreak/>
        <w:t>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w:t>
      </w:r>
      <w:r w:rsidRPr="00412866">
        <w:rPr>
          <w:rFonts w:ascii="Arial" w:hAnsi="Arial" w:cs="Arial"/>
          <w:bCs/>
          <w:sz w:val="20"/>
          <w:szCs w:val="20"/>
          <w:lang w:val="uk-UA"/>
        </w:rPr>
        <w:lastRenderedPageBreak/>
        <w:t>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lastRenderedPageBreak/>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00067792"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2CC4CA8F"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3987DDDE"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9C647D">
        <w:rPr>
          <w:rFonts w:ascii="Arial" w:hAnsi="Arial" w:cs="Arial"/>
          <w:b/>
          <w:sz w:val="20"/>
          <w:szCs w:val="20"/>
          <w:lang w:val="uk-UA"/>
        </w:rPr>
        <w:t>6</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2D6C97A4"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9095" w14:textId="77777777" w:rsidR="00F60CAF" w:rsidRDefault="00F60CAF">
      <w:pPr>
        <w:spacing w:after="0" w:line="240" w:lineRule="auto"/>
      </w:pPr>
      <w:r>
        <w:separator/>
      </w:r>
    </w:p>
  </w:endnote>
  <w:endnote w:type="continuationSeparator" w:id="0">
    <w:p w14:paraId="01412AC6" w14:textId="77777777" w:rsidR="00F60CAF" w:rsidRDefault="00F6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F60CAF">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F01F" w14:textId="77777777" w:rsidR="00F60CAF" w:rsidRDefault="00F60CAF">
      <w:pPr>
        <w:spacing w:after="0" w:line="240" w:lineRule="auto"/>
      </w:pPr>
      <w:r>
        <w:separator/>
      </w:r>
    </w:p>
  </w:footnote>
  <w:footnote w:type="continuationSeparator" w:id="0">
    <w:p w14:paraId="74C86409" w14:textId="77777777" w:rsidR="00F60CAF" w:rsidRDefault="00F60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71868"/>
    <w:rsid w:val="001B79B8"/>
    <w:rsid w:val="001D7705"/>
    <w:rsid w:val="002430C0"/>
    <w:rsid w:val="00243E81"/>
    <w:rsid w:val="00246070"/>
    <w:rsid w:val="00252EC3"/>
    <w:rsid w:val="002A53B3"/>
    <w:rsid w:val="002B502C"/>
    <w:rsid w:val="002F1BE8"/>
    <w:rsid w:val="002F3E3E"/>
    <w:rsid w:val="003221B0"/>
    <w:rsid w:val="00334D4C"/>
    <w:rsid w:val="00372C51"/>
    <w:rsid w:val="00386308"/>
    <w:rsid w:val="003915EC"/>
    <w:rsid w:val="003E1100"/>
    <w:rsid w:val="00412866"/>
    <w:rsid w:val="00422A02"/>
    <w:rsid w:val="00426EC0"/>
    <w:rsid w:val="004805A1"/>
    <w:rsid w:val="0048488C"/>
    <w:rsid w:val="004A0519"/>
    <w:rsid w:val="004B536E"/>
    <w:rsid w:val="00511372"/>
    <w:rsid w:val="00512E3E"/>
    <w:rsid w:val="005240CF"/>
    <w:rsid w:val="00553AEA"/>
    <w:rsid w:val="00625328"/>
    <w:rsid w:val="006305B0"/>
    <w:rsid w:val="00631BAF"/>
    <w:rsid w:val="0064088F"/>
    <w:rsid w:val="00672568"/>
    <w:rsid w:val="0068463A"/>
    <w:rsid w:val="006B5E3D"/>
    <w:rsid w:val="006D37B6"/>
    <w:rsid w:val="006F09EB"/>
    <w:rsid w:val="00707496"/>
    <w:rsid w:val="007A2FDD"/>
    <w:rsid w:val="007B5122"/>
    <w:rsid w:val="007D552B"/>
    <w:rsid w:val="007E3C3A"/>
    <w:rsid w:val="007E6BC1"/>
    <w:rsid w:val="008359C2"/>
    <w:rsid w:val="008762A5"/>
    <w:rsid w:val="008A67C0"/>
    <w:rsid w:val="008B1CA5"/>
    <w:rsid w:val="008B7E77"/>
    <w:rsid w:val="008C2E73"/>
    <w:rsid w:val="008D016E"/>
    <w:rsid w:val="00910E4D"/>
    <w:rsid w:val="00950679"/>
    <w:rsid w:val="00965289"/>
    <w:rsid w:val="009851F4"/>
    <w:rsid w:val="009B4F47"/>
    <w:rsid w:val="009C647D"/>
    <w:rsid w:val="009D3EB1"/>
    <w:rsid w:val="009F545B"/>
    <w:rsid w:val="00A10DC3"/>
    <w:rsid w:val="00A76C5D"/>
    <w:rsid w:val="00A8038E"/>
    <w:rsid w:val="00A978EF"/>
    <w:rsid w:val="00AB3299"/>
    <w:rsid w:val="00B0218E"/>
    <w:rsid w:val="00BB21B7"/>
    <w:rsid w:val="00BB58DE"/>
    <w:rsid w:val="00C01717"/>
    <w:rsid w:val="00C25237"/>
    <w:rsid w:val="00C43A49"/>
    <w:rsid w:val="00C5759D"/>
    <w:rsid w:val="00C877DE"/>
    <w:rsid w:val="00CC2A4C"/>
    <w:rsid w:val="00CE181B"/>
    <w:rsid w:val="00D5023B"/>
    <w:rsid w:val="00D81729"/>
    <w:rsid w:val="00DD367D"/>
    <w:rsid w:val="00E00FAF"/>
    <w:rsid w:val="00E327D9"/>
    <w:rsid w:val="00E84D5B"/>
    <w:rsid w:val="00EA2D88"/>
    <w:rsid w:val="00EA46AF"/>
    <w:rsid w:val="00EC068E"/>
    <w:rsid w:val="00EC5A0D"/>
    <w:rsid w:val="00F24BF0"/>
    <w:rsid w:val="00F511ED"/>
    <w:rsid w:val="00F60CAF"/>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customXml/itemProps2.xml><?xml version="1.0" encoding="utf-8"?>
<ds:datastoreItem xmlns:ds="http://schemas.openxmlformats.org/officeDocument/2006/customXml" ds:itemID="{B2DB9659-FA31-4CC7-B79D-5D183307E990}"/>
</file>

<file path=customXml/itemProps3.xml><?xml version="1.0" encoding="utf-8"?>
<ds:datastoreItem xmlns:ds="http://schemas.openxmlformats.org/officeDocument/2006/customXml" ds:itemID="{42DD79D7-2435-4791-9F57-7055856DE6A8}"/>
</file>

<file path=customXml/itemProps4.xml><?xml version="1.0" encoding="utf-8"?>
<ds:datastoreItem xmlns:ds="http://schemas.openxmlformats.org/officeDocument/2006/customXml" ds:itemID="{0505BC6E-485A-474B-B27C-5F208F9C6692}"/>
</file>

<file path=docProps/app.xml><?xml version="1.0" encoding="utf-8"?>
<Properties xmlns="http://schemas.openxmlformats.org/officeDocument/2006/extended-properties" xmlns:vt="http://schemas.openxmlformats.org/officeDocument/2006/docPropsVTypes">
  <Template>Normal.dotm</Template>
  <TotalTime>24</TotalTime>
  <Pages>18</Pages>
  <Words>8183</Words>
  <Characters>54668</Characters>
  <Application>Microsoft Office Word</Application>
  <DocSecurity>0</DocSecurity>
  <Lines>911</Lines>
  <Paragraphs>385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19</cp:revision>
  <dcterms:created xsi:type="dcterms:W3CDTF">2025-05-09T13:06:00Z</dcterms:created>
  <dcterms:modified xsi:type="dcterms:W3CDTF">2026-04-05T19:48:00Z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