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C944BBA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C242D6">
        <w:rPr>
          <w:b/>
          <w:sz w:val="22"/>
          <w:szCs w:val="22"/>
          <w:highlight w:val="yellow"/>
        </w:rPr>
        <w:t>«</w:t>
      </w:r>
      <w:r w:rsidR="00B20805">
        <w:rPr>
          <w:b/>
          <w:sz w:val="22"/>
          <w:szCs w:val="22"/>
          <w:highlight w:val="yellow"/>
        </w:rPr>
        <w:t>1</w:t>
      </w:r>
      <w:r w:rsidR="00087FAF">
        <w:rPr>
          <w:b/>
          <w:sz w:val="22"/>
          <w:szCs w:val="22"/>
          <w:highlight w:val="yellow"/>
        </w:rPr>
        <w:t>7</w:t>
      </w:r>
      <w:r w:rsidR="005A5F8A" w:rsidRPr="00C242D6">
        <w:rPr>
          <w:b/>
          <w:sz w:val="22"/>
          <w:szCs w:val="22"/>
          <w:highlight w:val="yellow"/>
        </w:rPr>
        <w:t xml:space="preserve">» </w:t>
      </w:r>
      <w:r w:rsidR="00B20805">
        <w:rPr>
          <w:b/>
          <w:sz w:val="22"/>
          <w:szCs w:val="22"/>
          <w:highlight w:val="yellow"/>
        </w:rPr>
        <w:t>червня</w:t>
      </w:r>
      <w:r w:rsidR="005A5F8A" w:rsidRPr="00C242D6">
        <w:rPr>
          <w:b/>
          <w:sz w:val="22"/>
          <w:szCs w:val="22"/>
          <w:highlight w:val="yellow"/>
        </w:rPr>
        <w:t xml:space="preserve"> 202</w:t>
      </w:r>
      <w:r w:rsidR="00B20805">
        <w:rPr>
          <w:b/>
          <w:sz w:val="22"/>
          <w:szCs w:val="22"/>
          <w:highlight w:val="yellow"/>
        </w:rPr>
        <w:t>6</w:t>
      </w:r>
      <w:r w:rsidR="005A5F8A">
        <w:rPr>
          <w:b/>
          <w:sz w:val="22"/>
          <w:szCs w:val="22"/>
          <w:highlight w:val="yellow"/>
        </w:rPr>
        <w:t xml:space="preserve"> </w:t>
      </w:r>
      <w:r w:rsidR="005A5F8A" w:rsidRPr="00C242D6">
        <w:rPr>
          <w:b/>
          <w:sz w:val="22"/>
          <w:szCs w:val="22"/>
          <w:highlight w:val="yellow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A4CE1F0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02724E">
        <w:rPr>
          <w:b/>
          <w:bCs/>
          <w:sz w:val="22"/>
          <w:szCs w:val="22"/>
        </w:rPr>
        <w:t>_3101-3102</w:t>
      </w:r>
      <w:r w:rsidR="0002724E">
        <w:rPr>
          <w:b/>
          <w:bCs/>
          <w:sz w:val="22"/>
          <w:szCs w:val="22"/>
          <w:lang w:val="en-US"/>
        </w:rPr>
        <w:t>NP</w:t>
      </w:r>
      <w:r w:rsidR="00AB5249" w:rsidRPr="0935853B">
        <w:rPr>
          <w:b/>
          <w:bCs/>
          <w:sz w:val="22"/>
          <w:szCs w:val="22"/>
        </w:rPr>
        <w:t xml:space="preserve">    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6DE61A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>закупівлю</w:t>
      </w:r>
      <w:r w:rsidR="000C5F58">
        <w:rPr>
          <w:sz w:val="22"/>
          <w:szCs w:val="22"/>
        </w:rPr>
        <w:t xml:space="preserve"> бронежилетів з бронеплитами та балістичних шоломів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8"/>
        <w:gridCol w:w="2823"/>
        <w:gridCol w:w="3247"/>
      </w:tblGrid>
      <w:tr w:rsidR="004C2787" w:rsidRPr="000B48D8" w14:paraId="56DE4E59" w14:textId="77777777" w:rsidTr="000C5F58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18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23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62A33" w:rsidRPr="000B48D8" w14:paraId="0F594BD0" w14:textId="77777777" w:rsidTr="000C5F58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62A33" w:rsidRPr="000B48D8" w:rsidRDefault="00162A33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18" w:type="dxa"/>
            <w:vAlign w:val="center"/>
          </w:tcPr>
          <w:p w14:paraId="5D6D90EE" w14:textId="6F95074D" w:rsidR="00162A33" w:rsidRPr="000B48D8" w:rsidRDefault="00162A33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Бронежилет з бронеплитами</w:t>
            </w:r>
          </w:p>
        </w:tc>
        <w:tc>
          <w:tcPr>
            <w:tcW w:w="2823" w:type="dxa"/>
            <w:vMerge w:val="restart"/>
            <w:vAlign w:val="center"/>
          </w:tcPr>
          <w:p w14:paraId="4F5DE3BC" w14:textId="0D9337D1" w:rsidR="00162A33" w:rsidRPr="00A3721F" w:rsidRDefault="00162A3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 xml:space="preserve">№2 до Запиту </w:t>
            </w:r>
          </w:p>
        </w:tc>
        <w:tc>
          <w:tcPr>
            <w:tcW w:w="3247" w:type="dxa"/>
            <w:vMerge w:val="restart"/>
            <w:vAlign w:val="center"/>
          </w:tcPr>
          <w:p w14:paraId="5FF68500" w14:textId="4202C2F7" w:rsidR="00162A33" w:rsidRPr="00A3721F" w:rsidRDefault="00162A33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162A33" w:rsidRPr="000B48D8" w14:paraId="064DA0DC" w14:textId="77777777" w:rsidTr="000C5F58">
        <w:trPr>
          <w:trHeight w:val="68"/>
        </w:trPr>
        <w:tc>
          <w:tcPr>
            <w:tcW w:w="432" w:type="dxa"/>
            <w:vAlign w:val="center"/>
          </w:tcPr>
          <w:p w14:paraId="5B8D9626" w14:textId="691350F0" w:rsidR="00162A33" w:rsidRPr="000B48D8" w:rsidRDefault="00162A33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</w:t>
            </w:r>
          </w:p>
        </w:tc>
        <w:tc>
          <w:tcPr>
            <w:tcW w:w="3718" w:type="dxa"/>
            <w:vAlign w:val="center"/>
          </w:tcPr>
          <w:p w14:paraId="61C62032" w14:textId="59B27FCB" w:rsidR="00162A33" w:rsidRDefault="00162A33" w:rsidP="00860E5D">
            <w:pPr>
              <w:ind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Балістичн</w:t>
            </w:r>
            <w:r w:rsidR="00CC247E"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</w:rPr>
              <w:t xml:space="preserve"> шолом</w:t>
            </w:r>
            <w:r w:rsidR="00CC247E">
              <w:rPr>
                <w:sz w:val="22"/>
                <w:szCs w:val="22"/>
              </w:rPr>
              <w:t>и</w:t>
            </w:r>
          </w:p>
        </w:tc>
        <w:tc>
          <w:tcPr>
            <w:tcW w:w="2823" w:type="dxa"/>
            <w:vMerge/>
            <w:vAlign w:val="center"/>
          </w:tcPr>
          <w:p w14:paraId="08CE09B1" w14:textId="77777777" w:rsidR="00162A33" w:rsidRPr="00A3721F" w:rsidRDefault="00162A3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63567183" w14:textId="77777777" w:rsidR="00162A33" w:rsidRPr="00A3721F" w:rsidRDefault="00162A33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2EBC94DA" w:rsidR="00DE6B9A" w:rsidRPr="00C305C4" w:rsidRDefault="00DE6B9A" w:rsidP="00DE6B9A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D277D0">
        <w:rPr>
          <w:i/>
          <w:iCs/>
          <w:color w:val="000000"/>
          <w:sz w:val="20"/>
          <w:szCs w:val="20"/>
          <w:lang w:eastAsia="uk-UA"/>
        </w:rPr>
        <w:t>****Товариство Червоного Хреста України залишає за собою право здійснювати закупівлі за окремими позиціями</w:t>
      </w:r>
      <w:r w:rsidR="00D277D0" w:rsidRPr="00D277D0">
        <w:rPr>
          <w:i/>
          <w:iCs/>
          <w:color w:val="000000"/>
          <w:sz w:val="20"/>
          <w:szCs w:val="20"/>
          <w:lang w:eastAsia="uk-UA"/>
        </w:rPr>
        <w:t>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30DE0591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BF64F8">
        <w:rPr>
          <w:bCs/>
          <w:sz w:val="22"/>
          <w:szCs w:val="22"/>
        </w:rPr>
        <w:t>30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189EAC6" w14:textId="2ADFF3A9" w:rsidR="000A7594" w:rsidRPr="004C2BE4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>оставка  здійснюється силами та за рахунок Постачальника  та включає завантажувально-розвантажувальні роботи</w:t>
      </w:r>
      <w:r w:rsidR="00B81075">
        <w:rPr>
          <w:sz w:val="22"/>
          <w:szCs w:val="22"/>
        </w:rPr>
        <w:t>:</w:t>
      </w:r>
      <w:r w:rsidR="00FE071D">
        <w:rPr>
          <w:sz w:val="22"/>
          <w:szCs w:val="22"/>
        </w:rPr>
        <w:t xml:space="preserve"> </w:t>
      </w:r>
      <w:r w:rsidR="00FE071D" w:rsidRPr="00CC247E">
        <w:rPr>
          <w:b/>
          <w:bCs/>
          <w:sz w:val="22"/>
          <w:szCs w:val="22"/>
        </w:rPr>
        <w:t>Київська обл</w:t>
      </w:r>
      <w:r w:rsidR="00FE071D" w:rsidRPr="004C2BE4">
        <w:rPr>
          <w:sz w:val="22"/>
          <w:szCs w:val="22"/>
        </w:rPr>
        <w:t>.</w:t>
      </w:r>
      <w:r w:rsidR="00FE071D" w:rsidRPr="004C2BE4">
        <w:rPr>
          <w:bCs/>
          <w:i/>
          <w:iCs/>
          <w:sz w:val="22"/>
          <w:szCs w:val="22"/>
        </w:rPr>
        <w:t>(</w:t>
      </w:r>
      <w:r w:rsidR="00CC387A" w:rsidRPr="004C2BE4">
        <w:rPr>
          <w:bCs/>
          <w:i/>
          <w:iCs/>
          <w:sz w:val="22"/>
          <w:szCs w:val="22"/>
        </w:rPr>
        <w:t>точна адреса буде надана переможцю закупівлі під час підписання договору</w:t>
      </w:r>
      <w:r w:rsidR="00FE071D" w:rsidRPr="004C2BE4">
        <w:rPr>
          <w:bCs/>
          <w:i/>
          <w:iCs/>
          <w:sz w:val="22"/>
          <w:szCs w:val="22"/>
        </w:rPr>
        <w:t>)</w:t>
      </w:r>
      <w:r w:rsidR="00CC387A" w:rsidRPr="004C2BE4">
        <w:rPr>
          <w:bCs/>
          <w:i/>
          <w:iCs/>
          <w:sz w:val="22"/>
          <w:szCs w:val="22"/>
        </w:rPr>
        <w:t xml:space="preserve"> </w:t>
      </w:r>
      <w:r w:rsidR="00D277D0" w:rsidRPr="004C2BE4">
        <w:rPr>
          <w:bCs/>
          <w:i/>
          <w:iCs/>
          <w:sz w:val="22"/>
          <w:szCs w:val="22"/>
        </w:rPr>
        <w:t>.</w:t>
      </w:r>
    </w:p>
    <w:p w14:paraId="060C5CC6" w14:textId="77777777" w:rsidR="00B27389" w:rsidRPr="004C2BE4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74"/>
        <w:gridCol w:w="4208"/>
      </w:tblGrid>
      <w:tr w:rsidR="00BC13F3" w:rsidRPr="00F17497" w14:paraId="17D899A6" w14:textId="77777777" w:rsidTr="00067BD9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5274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208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067BD9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208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067BD9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1F89CD6D" w14:textId="4DFCD25C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08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2A50F6DD" w14:textId="3BAB566B" w:rsidR="00AC2C36" w:rsidRPr="00AC2C36" w:rsidRDefault="00AC2C36" w:rsidP="00AC2C36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C2C36">
              <w:rPr>
                <w:rFonts w:ascii="Times New Roman" w:hAnsi="Times New Roman" w:cs="Times New Roman"/>
                <w:sz w:val="22"/>
                <w:szCs w:val="22"/>
              </w:rPr>
              <w:t>Балістичний шолом з регульованою посадкою: Відповідність стандарту NIJ 0106.01 або ДСТУ 8835:2019</w:t>
            </w:r>
          </w:p>
          <w:p w14:paraId="556AEAD1" w14:textId="74D45894" w:rsidR="00AC2C36" w:rsidRPr="00AC2C36" w:rsidRDefault="00AC2C36" w:rsidP="00AC2C36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2C36">
              <w:rPr>
                <w:rFonts w:ascii="Times New Roman" w:hAnsi="Times New Roman" w:cs="Times New Roman"/>
                <w:sz w:val="22"/>
                <w:szCs w:val="22"/>
              </w:rPr>
              <w:t xml:space="preserve"> Клас захисту: IIIA (згідно NIJ 0101.06),  сертифікат відповідності:- NIJ 0106.01 / NIJ 0101.06, або від незалежної лабораторії (H.P. White,</w:t>
            </w:r>
            <w:r w:rsidR="0067257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2C36">
              <w:rPr>
                <w:rFonts w:ascii="Times New Roman" w:hAnsi="Times New Roman" w:cs="Times New Roman"/>
                <w:sz w:val="22"/>
                <w:szCs w:val="22"/>
              </w:rPr>
              <w:t xml:space="preserve">NTS)- або </w:t>
            </w:r>
            <w:r w:rsidRPr="00AC2C3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вітчизняний сертифікат відповідності ДСТУ(ДСТУ8835:2019)</w:t>
            </w:r>
          </w:p>
          <w:p w14:paraId="01BF2946" w14:textId="77777777" w:rsidR="00AC2C36" w:rsidRPr="00AC2C36" w:rsidRDefault="00AC2C36" w:rsidP="00AC2C36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9F11A3" w14:textId="1FC5ED24" w:rsidR="00AC2C36" w:rsidRPr="00AC2C36" w:rsidRDefault="00AC2C36" w:rsidP="00AC2C36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2C36">
              <w:rPr>
                <w:rFonts w:ascii="Times New Roman" w:hAnsi="Times New Roman" w:cs="Times New Roman"/>
                <w:sz w:val="22"/>
                <w:szCs w:val="22"/>
              </w:rPr>
              <w:t>Бронежилет:Клас захисту:Не нижче 2 класу захисту відповідно до ДСТУ 8782:2018, Протокол відстрілу 2-й клас захисту згідно з ДСТУ (STANAG V-50 – 758,6 м/с)</w:t>
            </w:r>
          </w:p>
          <w:p w14:paraId="2BED5DFF" w14:textId="77777777" w:rsidR="00BC13F3" w:rsidRDefault="00AC2C36" w:rsidP="00AC2C36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2C36">
              <w:rPr>
                <w:rFonts w:ascii="Times New Roman" w:hAnsi="Times New Roman" w:cs="Times New Roman"/>
                <w:sz w:val="22"/>
                <w:szCs w:val="22"/>
              </w:rPr>
              <w:t>Бронеплита 3-го класу захисту відповідно до ДСТУ 8782:2018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C3BCD0A" w14:textId="77777777" w:rsidR="0027152C" w:rsidRPr="00B20805" w:rsidRDefault="0027152C" w:rsidP="0027152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805">
              <w:rPr>
                <w:rFonts w:ascii="Times New Roman" w:hAnsi="Times New Roman" w:cs="Times New Roman"/>
                <w:sz w:val="22"/>
                <w:szCs w:val="22"/>
              </w:rPr>
              <w:t>Наявність документів підтверджуючих проходження партії балістичних випробувань</w:t>
            </w:r>
          </w:p>
          <w:p w14:paraId="3A51187A" w14:textId="7A745E53" w:rsidR="0027152C" w:rsidRPr="00602D70" w:rsidRDefault="0027152C" w:rsidP="00AC2C36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067BD9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208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067BD9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208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067BD9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208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067BD9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208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067BD9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208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067BD9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208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067BD9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208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067BD9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208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067BD9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208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067BD9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208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1F389A">
        <w:trPr>
          <w:trHeight w:val="1697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274" w:type="dxa"/>
          </w:tcPr>
          <w:p w14:paraId="3B9F7E31" w14:textId="70371AE5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</w:t>
            </w:r>
          </w:p>
        </w:tc>
        <w:tc>
          <w:tcPr>
            <w:tcW w:w="4208" w:type="dxa"/>
          </w:tcPr>
          <w:p w14:paraId="70B8F3F7" w14:textId="3652BB4D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F38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Подання балансів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187A">
              <w:rPr>
                <w:rFonts w:ascii="Times New Roman" w:hAnsi="Times New Roman" w:cs="Times New Roman"/>
                <w:sz w:val="22"/>
                <w:szCs w:val="22"/>
              </w:rPr>
              <w:t xml:space="preserve">та </w:t>
            </w:r>
            <w:r w:rsidR="00E1187A" w:rsidRPr="001F389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Фінансових звітів</w:t>
            </w:r>
            <w:r w:rsidR="00E118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="001F38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389A" w:rsidRP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(20</w:t>
            </w:r>
            <w:r w:rsidR="00CC247E" w:rsidRP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24-2025</w:t>
            </w:r>
            <w:r w:rsid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="00CC247E" w:rsidRP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рр</w:t>
            </w:r>
            <w:r w:rsid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  <w:r w:rsidR="00CC247E" w:rsidRPr="00CC247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E87249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5B5B609B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</w:t>
      </w:r>
      <w:r w:rsidR="00A63842" w:rsidRPr="00044084">
        <w:rPr>
          <w:rFonts w:eastAsia="Arial Unicode MS"/>
          <w:sz w:val="22"/>
          <w:szCs w:val="22"/>
          <w:highlight w:val="yellow"/>
        </w:rPr>
        <w:t>Додаток №</w:t>
      </w:r>
      <w:r w:rsidR="00044084" w:rsidRPr="00044084">
        <w:rPr>
          <w:rFonts w:eastAsia="Arial Unicode MS"/>
          <w:sz w:val="22"/>
          <w:szCs w:val="22"/>
          <w:highlight w:val="yellow"/>
        </w:rPr>
        <w:t>3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6C03FFEC" w:rsidR="009140B6" w:rsidRP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="005A5F8A" w:rsidRPr="00686B69">
        <w:rPr>
          <w:rFonts w:eastAsia="Arial Unicode MS"/>
          <w:sz w:val="22"/>
          <w:szCs w:val="22"/>
          <w:highlight w:val="yellow"/>
        </w:rPr>
        <w:t xml:space="preserve">Додатку </w:t>
      </w:r>
      <w:r w:rsidR="00A63842" w:rsidRPr="00686B69">
        <w:rPr>
          <w:rFonts w:eastAsia="Arial Unicode MS"/>
          <w:sz w:val="22"/>
          <w:szCs w:val="22"/>
          <w:highlight w:val="yellow"/>
        </w:rPr>
        <w:t>№</w:t>
      </w:r>
      <w:r w:rsidR="00044084">
        <w:rPr>
          <w:rFonts w:eastAsia="Arial Unicode MS"/>
          <w:sz w:val="22"/>
          <w:szCs w:val="22"/>
          <w:highlight w:val="yellow"/>
        </w:rPr>
        <w:t>2</w:t>
      </w:r>
      <w:r w:rsidR="005A5F8A" w:rsidRPr="00686B69">
        <w:rPr>
          <w:rFonts w:eastAsia="Arial Unicode MS"/>
          <w:sz w:val="22"/>
          <w:szCs w:val="22"/>
          <w:highlight w:val="yellow"/>
        </w:rPr>
        <w:t>.</w:t>
      </w:r>
      <w:r w:rsidR="00FD1BA5" w:rsidRPr="00686B69">
        <w:rPr>
          <w:rFonts w:eastAsia="Arial Unicode MS"/>
          <w:color w:val="747474"/>
          <w:sz w:val="22"/>
          <w:szCs w:val="22"/>
          <w:highlight w:val="yellow"/>
        </w:rPr>
        <w:t xml:space="preserve"> </w:t>
      </w:r>
      <w:r w:rsidR="009140B6" w:rsidRPr="00686B69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74E0B4E5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</w:t>
      </w:r>
      <w:r w:rsidR="00D07D87" w:rsidRPr="00A43A36">
        <w:rPr>
          <w:color w:val="EE0000"/>
          <w:sz w:val="22"/>
          <w:szCs w:val="22"/>
        </w:rPr>
        <w:t xml:space="preserve">надати фото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2D446585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3A70EA2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DF3393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3DDE9AD6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DF3393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01B46269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46100">
        <w:rPr>
          <w:b/>
          <w:bCs/>
          <w:sz w:val="22"/>
          <w:szCs w:val="22"/>
          <w:highlight w:val="yellow"/>
        </w:rPr>
        <w:t xml:space="preserve">до 18:00 </w:t>
      </w:r>
      <w:r w:rsidR="00DF60A1" w:rsidRPr="00B46100">
        <w:rPr>
          <w:b/>
          <w:bCs/>
          <w:sz w:val="22"/>
          <w:szCs w:val="22"/>
          <w:highlight w:val="yellow"/>
        </w:rPr>
        <w:t>«</w:t>
      </w:r>
      <w:r w:rsidR="001F7B80">
        <w:rPr>
          <w:b/>
          <w:bCs/>
          <w:sz w:val="22"/>
          <w:szCs w:val="22"/>
          <w:highlight w:val="yellow"/>
        </w:rPr>
        <w:t>29</w:t>
      </w:r>
      <w:r w:rsidR="00DF60A1" w:rsidRPr="00B46100">
        <w:rPr>
          <w:b/>
          <w:bCs/>
          <w:sz w:val="22"/>
          <w:szCs w:val="22"/>
          <w:highlight w:val="yellow"/>
        </w:rPr>
        <w:t xml:space="preserve">» </w:t>
      </w:r>
      <w:r w:rsidR="001F7B80">
        <w:rPr>
          <w:b/>
          <w:bCs/>
          <w:sz w:val="22"/>
          <w:szCs w:val="22"/>
          <w:highlight w:val="yellow"/>
        </w:rPr>
        <w:t>червня</w:t>
      </w:r>
      <w:r w:rsidR="00DF60A1" w:rsidRPr="00A05CEC">
        <w:rPr>
          <w:b/>
          <w:bCs/>
          <w:sz w:val="22"/>
          <w:szCs w:val="22"/>
          <w:highlight w:val="yellow"/>
        </w:rPr>
        <w:t xml:space="preserve"> </w:t>
      </w:r>
      <w:r w:rsidR="00DF60A1" w:rsidRPr="001F7B80">
        <w:rPr>
          <w:b/>
          <w:bCs/>
          <w:sz w:val="22"/>
          <w:szCs w:val="22"/>
          <w:highlight w:val="yellow"/>
        </w:rPr>
        <w:t>202</w:t>
      </w:r>
      <w:r w:rsidR="001F7B80" w:rsidRPr="001F7B80">
        <w:rPr>
          <w:b/>
          <w:bCs/>
          <w:sz w:val="22"/>
          <w:szCs w:val="22"/>
          <w:highlight w:val="yellow"/>
        </w:rPr>
        <w:t>6</w:t>
      </w:r>
      <w:r w:rsidR="00DF60A1" w:rsidRPr="001F7B80">
        <w:rPr>
          <w:b/>
          <w:bCs/>
          <w:sz w:val="22"/>
          <w:szCs w:val="22"/>
          <w:highlight w:val="yellow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AEDC0F9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CC7D16">
        <w:rPr>
          <w:b/>
          <w:sz w:val="22"/>
          <w:szCs w:val="22"/>
          <w:highlight w:val="yellow"/>
        </w:rPr>
        <w:t>«</w:t>
      </w:r>
      <w:r w:rsidR="001F7B80">
        <w:rPr>
          <w:b/>
          <w:sz w:val="22"/>
          <w:szCs w:val="22"/>
          <w:highlight w:val="yellow"/>
        </w:rPr>
        <w:t>30</w:t>
      </w:r>
      <w:r w:rsidRPr="00CC7D16">
        <w:rPr>
          <w:b/>
          <w:sz w:val="22"/>
          <w:szCs w:val="22"/>
          <w:highlight w:val="yellow"/>
        </w:rPr>
        <w:t xml:space="preserve">» </w:t>
      </w:r>
      <w:r w:rsidR="001F7B80">
        <w:rPr>
          <w:b/>
          <w:sz w:val="22"/>
          <w:szCs w:val="22"/>
          <w:highlight w:val="yellow"/>
        </w:rPr>
        <w:t>червня</w:t>
      </w:r>
      <w:r w:rsidRPr="00CC7D16">
        <w:rPr>
          <w:b/>
          <w:sz w:val="22"/>
          <w:szCs w:val="22"/>
          <w:highlight w:val="yellow"/>
        </w:rPr>
        <w:t xml:space="preserve"> 2</w:t>
      </w:r>
      <w:r w:rsidRPr="001F7B80">
        <w:rPr>
          <w:b/>
          <w:sz w:val="22"/>
          <w:szCs w:val="22"/>
          <w:highlight w:val="yellow"/>
        </w:rPr>
        <w:t>02</w:t>
      </w:r>
      <w:r w:rsidR="001F7B80" w:rsidRPr="001F7B80">
        <w:rPr>
          <w:b/>
          <w:sz w:val="22"/>
          <w:szCs w:val="22"/>
          <w:highlight w:val="yellow"/>
        </w:rPr>
        <w:t>6</w:t>
      </w:r>
      <w:r w:rsidRPr="001F7B80">
        <w:rPr>
          <w:b/>
          <w:sz w:val="22"/>
          <w:szCs w:val="22"/>
          <w:highlight w:val="yellow"/>
        </w:rPr>
        <w:t xml:space="preserve"> року</w:t>
      </w:r>
      <w:r w:rsidR="00352467" w:rsidRPr="001F7B80">
        <w:rPr>
          <w:b/>
          <w:sz w:val="22"/>
          <w:szCs w:val="22"/>
          <w:highlight w:val="yellow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1BC5148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FE014A">
        <w:rPr>
          <w:b/>
          <w:sz w:val="22"/>
          <w:szCs w:val="22"/>
          <w:highlight w:val="yellow"/>
        </w:rPr>
        <w:t>«</w:t>
      </w:r>
      <w:r w:rsidR="00D93477" w:rsidRPr="001F7B80">
        <w:rPr>
          <w:b/>
          <w:sz w:val="22"/>
          <w:szCs w:val="22"/>
          <w:highlight w:val="yellow"/>
        </w:rPr>
        <w:t>01</w:t>
      </w:r>
      <w:r w:rsidRPr="001F7B80">
        <w:rPr>
          <w:b/>
          <w:sz w:val="22"/>
          <w:szCs w:val="22"/>
          <w:highlight w:val="yellow"/>
        </w:rPr>
        <w:t xml:space="preserve">» </w:t>
      </w:r>
      <w:r w:rsidR="00D93477" w:rsidRPr="001F7B80">
        <w:rPr>
          <w:b/>
          <w:sz w:val="22"/>
          <w:szCs w:val="22"/>
          <w:highlight w:val="yellow"/>
        </w:rPr>
        <w:t>липня</w:t>
      </w:r>
      <w:r w:rsidRPr="001F7B80">
        <w:rPr>
          <w:b/>
          <w:sz w:val="22"/>
          <w:szCs w:val="22"/>
          <w:highlight w:val="yellow"/>
        </w:rPr>
        <w:t xml:space="preserve"> 202</w:t>
      </w:r>
      <w:r w:rsidR="00D93477" w:rsidRPr="001F7B80">
        <w:rPr>
          <w:b/>
          <w:sz w:val="22"/>
          <w:szCs w:val="22"/>
          <w:highlight w:val="yellow"/>
        </w:rPr>
        <w:t>6</w:t>
      </w:r>
      <w:r w:rsidRPr="001F7B80">
        <w:rPr>
          <w:b/>
          <w:sz w:val="22"/>
          <w:szCs w:val="22"/>
          <w:highlight w:val="yellow"/>
        </w:rPr>
        <w:t xml:space="preserve"> року</w:t>
      </w:r>
      <w:r w:rsidRPr="00557A29">
        <w:rPr>
          <w:sz w:val="22"/>
          <w:szCs w:val="22"/>
        </w:rPr>
        <w:t xml:space="preserve">  об 11 год. 00 хв., за адресою: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</w:t>
      </w:r>
      <w:r w:rsidRPr="0011358C">
        <w:rPr>
          <w:sz w:val="22"/>
          <w:szCs w:val="22"/>
        </w:rPr>
        <w:lastRenderedPageBreak/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4C5C89F7" w:rsidR="002D164F" w:rsidRPr="00AE13D1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3A2D58">
        <w:rPr>
          <w:b/>
          <w:color w:val="FF0000"/>
          <w:sz w:val="22"/>
          <w:szCs w:val="22"/>
        </w:rPr>
        <w:t>3101-3102</w:t>
      </w:r>
      <w:r w:rsidR="003A2D58">
        <w:rPr>
          <w:b/>
          <w:color w:val="FF0000"/>
          <w:sz w:val="22"/>
          <w:szCs w:val="22"/>
          <w:lang w:val="en-US"/>
        </w:rPr>
        <w:t>NP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942C3D" w:rsidRPr="00AE13D1">
        <w:rPr>
          <w:b/>
          <w:bCs/>
          <w:color w:val="EE0000"/>
          <w:sz w:val="22"/>
          <w:szCs w:val="22"/>
        </w:rPr>
        <w:t>БРО</w:t>
      </w:r>
      <w:r w:rsidR="00422B04" w:rsidRPr="00AE13D1">
        <w:rPr>
          <w:b/>
          <w:bCs/>
          <w:color w:val="EE0000"/>
          <w:sz w:val="22"/>
          <w:szCs w:val="22"/>
        </w:rPr>
        <w:t>НЕЖИЛЕТИ З БРОНЕПЛИТАМИ ТА БАЛІСТИЧНІ ШОЛОМИ</w:t>
      </w:r>
    </w:p>
    <w:p w14:paraId="455B4379" w14:textId="4A43D361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422B04" w:rsidRPr="009F3525">
        <w:rPr>
          <w:b/>
          <w:color w:val="FF0000"/>
          <w:sz w:val="22"/>
          <w:szCs w:val="22"/>
        </w:rPr>
        <w:t>№</w:t>
      </w:r>
      <w:r w:rsidR="00422B04">
        <w:rPr>
          <w:b/>
          <w:color w:val="FF0000"/>
          <w:sz w:val="22"/>
          <w:szCs w:val="22"/>
        </w:rPr>
        <w:t>3101-3102</w:t>
      </w:r>
      <w:r w:rsidR="00422B04">
        <w:rPr>
          <w:b/>
          <w:color w:val="FF0000"/>
          <w:sz w:val="22"/>
          <w:szCs w:val="22"/>
          <w:lang w:val="en-US"/>
        </w:rPr>
        <w:t>NP</w:t>
      </w:r>
      <w:r w:rsidR="00422B04">
        <w:rPr>
          <w:b/>
          <w:bCs/>
          <w:color w:val="FF0000"/>
          <w:sz w:val="22"/>
          <w:szCs w:val="22"/>
        </w:rPr>
        <w:t xml:space="preserve">. </w:t>
      </w:r>
      <w:r w:rsidR="00422B04" w:rsidRPr="00640D3B">
        <w:rPr>
          <w:b/>
          <w:bCs/>
          <w:color w:val="FF0000"/>
          <w:sz w:val="22"/>
          <w:szCs w:val="22"/>
        </w:rPr>
        <w:t>НАЗВА УЧАСНИКА</w:t>
      </w:r>
      <w:r w:rsidR="00422B04" w:rsidRPr="00AE13D1">
        <w:rPr>
          <w:b/>
          <w:bCs/>
          <w:color w:val="FF0000"/>
          <w:sz w:val="22"/>
          <w:szCs w:val="22"/>
        </w:rPr>
        <w:t xml:space="preserve">. </w:t>
      </w:r>
      <w:r w:rsidR="00422B04" w:rsidRPr="00AE13D1">
        <w:rPr>
          <w:b/>
          <w:bCs/>
          <w:color w:val="EE0000"/>
          <w:sz w:val="22"/>
          <w:szCs w:val="22"/>
        </w:rPr>
        <w:t>БРОНЕЖИЛЕТИ З БРОНЕПЛИТАМИ ТА БАЛІСТИЧНІ ШОЛОМИ</w:t>
      </w:r>
      <w:r w:rsidR="00D93477">
        <w:rPr>
          <w:b/>
          <w:color w:val="EE0000"/>
          <w:sz w:val="22"/>
          <w:szCs w:val="22"/>
        </w:rPr>
        <w:t>_</w:t>
      </w:r>
      <w:r w:rsidR="00D93477" w:rsidRPr="00D93477">
        <w:rPr>
          <w:b/>
          <w:color w:val="000000" w:themeColor="text1"/>
          <w:sz w:val="22"/>
          <w:szCs w:val="22"/>
        </w:rPr>
        <w:t>ЧА</w:t>
      </w:r>
      <w:r w:rsidRPr="001F003B">
        <w:rPr>
          <w:b/>
          <w:sz w:val="22"/>
          <w:szCs w:val="22"/>
        </w:rPr>
        <w:t>СТИНА 1, ЧАСТИНА 2» і т.д.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</w:t>
      </w:r>
      <w:r w:rsidR="008F465B" w:rsidRPr="008F465B">
        <w:rPr>
          <w:iCs/>
          <w:sz w:val="22"/>
          <w:szCs w:val="22"/>
        </w:rPr>
        <w:lastRenderedPageBreak/>
        <w:t xml:space="preserve">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1C81D1F" w14:textId="77777777" w:rsidR="00D90BDB" w:rsidRPr="000279A0" w:rsidRDefault="00D90BDB" w:rsidP="00D90BDB">
      <w:pPr>
        <w:jc w:val="both"/>
        <w:rPr>
          <w:b/>
          <w:bCs/>
        </w:rPr>
      </w:pPr>
      <w:r w:rsidRPr="000279A0">
        <w:rPr>
          <w:b/>
          <w:bCs/>
        </w:rPr>
        <w:t xml:space="preserve">ВКЛЮЧАЄМО ДАНІ ПУНКТИ ВИКЛЮЧНО В РАЗІ ПУБЛІКАЦІЇ КОНКУРСІВ, ЯКІ СПОНСОРУЮТЬСЯ ДОНОРОМ </w:t>
      </w:r>
      <w:r w:rsidRPr="000279A0">
        <w:rPr>
          <w:b/>
          <w:bCs/>
          <w:lang w:val="en-US"/>
        </w:rPr>
        <w:t>USDS</w:t>
      </w:r>
      <w:r w:rsidRPr="000279A0">
        <w:rPr>
          <w:b/>
          <w:bCs/>
        </w:rPr>
        <w:t>, В ІНШИХ ВИПАДКАХ ВИДАЛЯЄМО</w:t>
      </w:r>
    </w:p>
    <w:p w14:paraId="1743B05C" w14:textId="095A875C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0279A0">
          <w:rPr>
            <w:rStyle w:val="ab"/>
            <w:i/>
            <w:iCs/>
            <w:noProof/>
            <w:sz w:val="22"/>
            <w:szCs w:val="22"/>
          </w:rPr>
          <w:t>2 CFR 200.322</w:t>
        </w:r>
      </w:hyperlink>
      <w:r w:rsidRPr="000279A0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1AD16927" w14:textId="4BDAF2DC" w:rsidR="003E6246" w:rsidRPr="000279A0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0279A0">
          <w:rPr>
            <w:rStyle w:val="ab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0279A0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0279A0">
          <w:rPr>
            <w:rStyle w:val="ab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0279A0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0279A0">
          <w:rPr>
            <w:rStyle w:val="ab"/>
            <w:noProof/>
            <w:sz w:val="22"/>
            <w:szCs w:val="22"/>
          </w:rPr>
          <w:t>Final FY26 - Standard Terms and Conditions for Federal Awards</w:t>
        </w:r>
      </w:hyperlink>
      <w:r w:rsidRPr="000279A0">
        <w:rPr>
          <w:noProof/>
          <w:sz w:val="22"/>
          <w:szCs w:val="22"/>
        </w:rPr>
        <w:t xml:space="preserve"> ), а саме:</w:t>
      </w:r>
    </w:p>
    <w:p w14:paraId="6EBBCBB1" w14:textId="5141AEC6" w:rsidR="003E6246" w:rsidRPr="000279A0" w:rsidRDefault="00C45927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>6.5.1</w:t>
      </w:r>
      <w:r w:rsidR="003E6246" w:rsidRPr="000279A0">
        <w:rPr>
          <w:noProof/>
          <w:sz w:val="22"/>
          <w:szCs w:val="22"/>
        </w:rPr>
        <w:t>. Заборона торгівлі людьми</w:t>
      </w:r>
    </w:p>
    <w:p w14:paraId="35822CED" w14:textId="4375BCCB" w:rsidR="003E6246" w:rsidRPr="000279A0" w:rsidRDefault="003E6246" w:rsidP="003E6246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5E026207" w14:textId="7E1BD141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1C778FE5" w14:textId="77777777" w:rsidR="003E6246" w:rsidRPr="000279A0" w:rsidRDefault="003E6246" w:rsidP="00C67FF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31D80681" w14:textId="77777777" w:rsidR="003E6246" w:rsidRPr="000279A0" w:rsidRDefault="003E6246" w:rsidP="00C67FF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477E5330" w14:textId="77777777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544A277C" w14:textId="77777777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3BD9B217" w14:textId="77777777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991E15E" w14:textId="77777777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C7F91C9" w14:textId="77777777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2508C687" w14:textId="519FD043" w:rsidR="003E6246" w:rsidRPr="000279A0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6.5.2. </w:t>
      </w:r>
      <w:r w:rsidR="003E6246" w:rsidRPr="000279A0">
        <w:rPr>
          <w:noProof/>
          <w:sz w:val="22"/>
          <w:szCs w:val="22"/>
        </w:rPr>
        <w:t xml:space="preserve"> Боротьба з тероризмом</w:t>
      </w:r>
    </w:p>
    <w:p w14:paraId="5CB50235" w14:textId="7B05724D" w:rsidR="003E6246" w:rsidRPr="000279A0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7228AF0" w14:textId="530CC858" w:rsidR="003E6246" w:rsidRPr="000279A0" w:rsidRDefault="00687A57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6.5.3. </w:t>
      </w:r>
      <w:r w:rsidR="003E6246" w:rsidRPr="000279A0">
        <w:rPr>
          <w:noProof/>
          <w:sz w:val="22"/>
          <w:szCs w:val="22"/>
        </w:rPr>
        <w:t xml:space="preserve"> Заборона іноземних безпілотних систем (ASDA)</w:t>
      </w:r>
    </w:p>
    <w:p w14:paraId="7338F14D" w14:textId="2C6EB495" w:rsidR="003E6246" w:rsidRPr="000279A0" w:rsidRDefault="003E6246" w:rsidP="001216A2">
      <w:pPr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lastRenderedPageBreak/>
        <w:t>Товариство Червоного Хреста України підтверджує та інформує, що воно:</w:t>
      </w:r>
    </w:p>
    <w:p w14:paraId="6A8E0830" w14:textId="77777777" w:rsidR="003E6246" w:rsidRPr="000279A0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5DD04F5" w14:textId="77777777" w:rsidR="003E6246" w:rsidRPr="000279A0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6B141DF1" w14:textId="77777777" w:rsidR="003E6246" w:rsidRPr="000279A0" w:rsidRDefault="003E6246" w:rsidP="00D715B4">
      <w:pPr>
        <w:pStyle w:val="af"/>
        <w:numPr>
          <w:ilvl w:val="1"/>
          <w:numId w:val="3"/>
        </w:numPr>
        <w:spacing w:line="278" w:lineRule="auto"/>
        <w:ind w:left="426" w:hanging="142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7DCD98D0" w14:textId="2EC79914" w:rsidR="003E6246" w:rsidRPr="000279A0" w:rsidRDefault="003E6246" w:rsidP="00470478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0279A0">
          <w:rPr>
            <w:rStyle w:val="ab"/>
            <w:noProof/>
            <w:color w:val="auto"/>
            <w:sz w:val="22"/>
            <w:szCs w:val="22"/>
          </w:rPr>
          <w:t>https://www.sam.gov</w:t>
        </w:r>
      </w:hyperlink>
      <w:r w:rsidRPr="000279A0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536C63EA" w14:textId="768BB935" w:rsidR="003E6246" w:rsidRPr="00D969DD" w:rsidRDefault="003E6246" w:rsidP="003E6246">
      <w:pPr>
        <w:ind w:firstLine="357"/>
        <w:jc w:val="both"/>
        <w:rPr>
          <w:noProof/>
          <w:sz w:val="22"/>
          <w:szCs w:val="22"/>
        </w:rPr>
      </w:pPr>
      <w:r w:rsidRPr="000279A0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236A6DF" w14:textId="480A25C0" w:rsidR="005D0D3E" w:rsidRPr="000B34EF" w:rsidRDefault="00A6690A" w:rsidP="000B34EF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sz w:val="22"/>
          <w:szCs w:val="22"/>
          <w:highlight w:val="yellow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p w14:paraId="4D58237A" w14:textId="29718574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722"/>
        <w:gridCol w:w="4252"/>
        <w:gridCol w:w="2127"/>
      </w:tblGrid>
      <w:tr w:rsidR="00B36636" w:rsidRPr="004805DD" w14:paraId="0B94A0B9" w14:textId="77777777" w:rsidTr="00420633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2722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379" w:type="dxa"/>
            <w:gridSpan w:val="2"/>
            <w:shd w:val="clear" w:color="auto" w:fill="E7E6E6"/>
            <w:vAlign w:val="center"/>
          </w:tcPr>
          <w:p w14:paraId="2592CB79" w14:textId="091DD0B1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 w:rsidR="00B45AA3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B36636" w:rsidRPr="004805DD" w14:paraId="26DFC06D" w14:textId="77777777" w:rsidTr="00420633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2722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127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B36636" w:rsidRPr="004805DD" w14:paraId="71A0B4D7" w14:textId="77777777" w:rsidTr="00420633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2722" w:type="dxa"/>
          </w:tcPr>
          <w:p w14:paraId="3B7962E7" w14:textId="77777777" w:rsidR="00B36636" w:rsidRPr="005D74A0" w:rsidRDefault="00B36636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379" w:type="dxa"/>
            <w:gridSpan w:val="2"/>
          </w:tcPr>
          <w:p w14:paraId="3AD3FD14" w14:textId="508F6EF1" w:rsidR="00B36636" w:rsidRPr="004D12AF" w:rsidRDefault="000279A0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8</w:t>
            </w:r>
            <w:r w:rsidR="00B36636"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0</w:t>
            </w:r>
            <w:r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 %</w:t>
            </w:r>
          </w:p>
        </w:tc>
      </w:tr>
      <w:tr w:rsidR="00B36636" w:rsidRPr="004805DD" w14:paraId="0B5D70A3" w14:textId="77777777" w:rsidTr="00420633">
        <w:trPr>
          <w:trHeight w:val="193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2722" w:type="dxa"/>
            <w:vAlign w:val="center"/>
          </w:tcPr>
          <w:p w14:paraId="74FEB8E6" w14:textId="77777777" w:rsidR="00B36636" w:rsidRPr="005D74A0" w:rsidRDefault="001938A4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Дос</w:t>
            </w:r>
            <w:r w:rsidR="00D16D91"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 співпраці з аналогічних робіт</w:t>
            </w:r>
          </w:p>
          <w:p w14:paraId="56D0AC80" w14:textId="456DB936" w:rsidR="004821A3" w:rsidRPr="004D12AF" w:rsidRDefault="004821A3" w:rsidP="00947CCF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C6184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Підтверджується шляхом надання копій договорів,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із зазначенням предмету закупівлі та контактів замовників</w:t>
            </w:r>
          </w:p>
        </w:tc>
        <w:tc>
          <w:tcPr>
            <w:tcW w:w="4252" w:type="dxa"/>
            <w:vAlign w:val="center"/>
          </w:tcPr>
          <w:p w14:paraId="0A2098AA" w14:textId="7D0441D3" w:rsidR="00E96882" w:rsidRDefault="00644830" w:rsidP="001C713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</w:pPr>
            <w:r w:rsidRPr="005D74A0">
              <w:rPr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Надано 2 і більше аналогічних договорів з підтвердженням виконання</w:t>
            </w:r>
            <w:r w:rsidRPr="005D74A0">
              <w:rPr>
                <w:rFonts w:asciiTheme="minorHAnsi" w:hAnsiTheme="minorHAnsi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E96882" w:rsidRPr="005D74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– 2</w:t>
            </w:r>
            <w:r w:rsidRPr="005D74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0%</w:t>
            </w:r>
          </w:p>
          <w:p w14:paraId="1DD6ED30" w14:textId="77777777" w:rsidR="005D74A0" w:rsidRPr="005D74A0" w:rsidRDefault="005D74A0" w:rsidP="001C713A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</w:pPr>
          </w:p>
          <w:p w14:paraId="0B162224" w14:textId="2F8DACB5" w:rsidR="00B36636" w:rsidRPr="005D74A0" w:rsidRDefault="00A03AA8" w:rsidP="005D74A0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5D74A0">
              <w:rPr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Аналогічні договори не надано або вони не відповідають вимогам</w:t>
            </w:r>
            <w:r w:rsidRPr="005D74A0">
              <w:rPr>
                <w:rFonts w:asciiTheme="minorHAnsi" w:hAnsiTheme="minorHAnsi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 xml:space="preserve"> запиту предмету заку</w:t>
            </w:r>
            <w:r w:rsidR="00E7241E" w:rsidRPr="005D74A0">
              <w:rPr>
                <w:rFonts w:asciiTheme="minorHAnsi" w:hAnsiTheme="minorHAnsi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півлі</w:t>
            </w:r>
            <w:r w:rsidR="005D74A0" w:rsidRPr="005D74A0">
              <w:rPr>
                <w:rFonts w:asciiTheme="minorHAnsi" w:hAnsiTheme="minorHAnsi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="00E96882" w:rsidRPr="005D74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>- 0</w:t>
            </w:r>
            <w:r w:rsidRPr="005D74A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pacing w:val="-4"/>
                <w:sz w:val="22"/>
                <w:szCs w:val="22"/>
              </w:rPr>
              <w:t xml:space="preserve"> %</w:t>
            </w:r>
          </w:p>
        </w:tc>
        <w:tc>
          <w:tcPr>
            <w:tcW w:w="2127" w:type="dxa"/>
            <w:vAlign w:val="center"/>
          </w:tcPr>
          <w:p w14:paraId="6B287D57" w14:textId="4A2A5537" w:rsidR="00B36636" w:rsidRPr="005D74A0" w:rsidRDefault="004821A3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5D74A0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20%</w:t>
            </w:r>
          </w:p>
        </w:tc>
      </w:tr>
      <w:tr w:rsidR="00B36636" w:rsidRPr="004805DD" w14:paraId="044061FB" w14:textId="77777777" w:rsidTr="00420633">
        <w:tc>
          <w:tcPr>
            <w:tcW w:w="7683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lastRenderedPageBreak/>
              <w:t>Всього, максимум</w:t>
            </w:r>
          </w:p>
        </w:tc>
        <w:tc>
          <w:tcPr>
            <w:tcW w:w="2127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bookmarkEnd w:id="2"/>
    <w:p w14:paraId="34FB84E5" w14:textId="24831675" w:rsidR="00A6690A" w:rsidRPr="00BA79E0" w:rsidRDefault="005D74A0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ab/>
      </w:r>
      <w:r w:rsidR="00A6690A"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="00A6690A"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="00A6690A"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="00A6690A"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="00A6690A"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="00A6690A"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="00A6690A"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="00A6690A"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2AFEFEE1" w:rsidR="001E2973" w:rsidRPr="003A2D58" w:rsidRDefault="004C2787" w:rsidP="006B31EF">
      <w:pPr>
        <w:pStyle w:val="af5"/>
        <w:ind w:firstLine="357"/>
        <w:rPr>
          <w:i/>
          <w:szCs w:val="24"/>
        </w:rPr>
      </w:pPr>
      <w:r w:rsidRPr="003A2D58">
        <w:rPr>
          <w:i/>
          <w:szCs w:val="24"/>
        </w:rPr>
        <w:t>Голова тендерного комітет</w:t>
      </w:r>
      <w:r w:rsidR="000279A0" w:rsidRPr="003A2D58">
        <w:rPr>
          <w:i/>
          <w:szCs w:val="24"/>
        </w:rPr>
        <w:t xml:space="preserve"> </w:t>
      </w:r>
      <w:r w:rsidR="009E6AC7" w:rsidRPr="003A2D58">
        <w:rPr>
          <w:i/>
          <w:szCs w:val="24"/>
        </w:rPr>
        <w:t xml:space="preserve">                                                            </w:t>
      </w:r>
      <w:r w:rsidRPr="003A2D58">
        <w:rPr>
          <w:i/>
          <w:szCs w:val="24"/>
        </w:rPr>
        <w:tab/>
      </w:r>
      <w:r w:rsidR="00CC7D16" w:rsidRPr="003A2D58">
        <w:rPr>
          <w:i/>
          <w:szCs w:val="24"/>
        </w:rPr>
        <w:t>___________</w:t>
      </w:r>
      <w:bookmarkStart w:id="3" w:name="_Hlk154479470"/>
      <w:r w:rsidR="000279A0" w:rsidRPr="003A2D58">
        <w:rPr>
          <w:i/>
          <w:szCs w:val="24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3C75D35B" w:rsidR="000B129C" w:rsidRPr="00BF24C7" w:rsidRDefault="000B129C" w:rsidP="005F647E">
      <w:pPr>
        <w:ind w:left="5664"/>
        <w:jc w:val="right"/>
        <w:rPr>
          <w:b/>
          <w:i/>
          <w:sz w:val="22"/>
          <w:szCs w:val="22"/>
          <w:lang w:val="ru-RU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4C2BE4">
        <w:rPr>
          <w:sz w:val="22"/>
          <w:szCs w:val="22"/>
        </w:rPr>
        <w:t>3101-3102</w:t>
      </w:r>
      <w:r w:rsidR="004C2BE4">
        <w:rPr>
          <w:sz w:val="22"/>
          <w:szCs w:val="22"/>
          <w:lang w:val="en-US"/>
        </w:rPr>
        <w:t>NP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3A2D58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3A2D58">
        <w:rPr>
          <w:b/>
          <w:i/>
          <w:sz w:val="22"/>
          <w:szCs w:val="22"/>
          <w:highlight w:val="yellow"/>
        </w:rPr>
        <w:t>цінов</w:t>
      </w:r>
      <w:r w:rsidRPr="003A2D58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2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A8BB" w14:textId="77777777" w:rsidR="004A1E67" w:rsidRDefault="004A1E67" w:rsidP="00B948CF">
      <w:r>
        <w:separator/>
      </w:r>
    </w:p>
  </w:endnote>
  <w:endnote w:type="continuationSeparator" w:id="0">
    <w:p w14:paraId="13D84033" w14:textId="77777777" w:rsidR="004A1E67" w:rsidRDefault="004A1E67" w:rsidP="00B948CF">
      <w:r>
        <w:continuationSeparator/>
      </w:r>
    </w:p>
  </w:endnote>
  <w:endnote w:type="continuationNotice" w:id="1">
    <w:p w14:paraId="7293CFA5" w14:textId="77777777" w:rsidR="004A1E67" w:rsidRDefault="004A1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F753" w14:textId="77777777" w:rsidR="004A1E67" w:rsidRDefault="004A1E67" w:rsidP="00B948CF">
      <w:r>
        <w:separator/>
      </w:r>
    </w:p>
  </w:footnote>
  <w:footnote w:type="continuationSeparator" w:id="0">
    <w:p w14:paraId="7450804E" w14:textId="77777777" w:rsidR="004A1E67" w:rsidRDefault="004A1E67" w:rsidP="00B948CF">
      <w:r>
        <w:continuationSeparator/>
      </w:r>
    </w:p>
  </w:footnote>
  <w:footnote w:type="continuationNotice" w:id="1">
    <w:p w14:paraId="5D86A01E" w14:textId="77777777" w:rsidR="004A1E67" w:rsidRDefault="004A1E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479D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24E"/>
    <w:rsid w:val="000279A0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4084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67BD9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7FAF"/>
    <w:rsid w:val="00093320"/>
    <w:rsid w:val="00093E7E"/>
    <w:rsid w:val="00094E16"/>
    <w:rsid w:val="00095082"/>
    <w:rsid w:val="00096209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34EF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C5F58"/>
    <w:rsid w:val="000D016E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A33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8A4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13A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79E7"/>
    <w:rsid w:val="001F0CD7"/>
    <w:rsid w:val="001F389A"/>
    <w:rsid w:val="001F3ACF"/>
    <w:rsid w:val="001F4F17"/>
    <w:rsid w:val="001F6A84"/>
    <w:rsid w:val="001F7B80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37B54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152C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490"/>
    <w:rsid w:val="00293A9A"/>
    <w:rsid w:val="00293F89"/>
    <w:rsid w:val="00295645"/>
    <w:rsid w:val="00296CE0"/>
    <w:rsid w:val="00297002"/>
    <w:rsid w:val="002972C9"/>
    <w:rsid w:val="002A061E"/>
    <w:rsid w:val="002A4557"/>
    <w:rsid w:val="002A4896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D58"/>
    <w:rsid w:val="003A2E95"/>
    <w:rsid w:val="003A355A"/>
    <w:rsid w:val="003A51C5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0633"/>
    <w:rsid w:val="00422B04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21A3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1E67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2BE4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6F78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0D3E"/>
    <w:rsid w:val="005D118A"/>
    <w:rsid w:val="005D1C87"/>
    <w:rsid w:val="005D40DA"/>
    <w:rsid w:val="005D4A11"/>
    <w:rsid w:val="005D5893"/>
    <w:rsid w:val="005D60A6"/>
    <w:rsid w:val="005D74A0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4830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577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2CDA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2C3D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1E7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3AA8"/>
    <w:rsid w:val="00A049D2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2C36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13D1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0805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41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6F76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0573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4C7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64F8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247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CBC"/>
    <w:rsid w:val="00D10EC7"/>
    <w:rsid w:val="00D12526"/>
    <w:rsid w:val="00D12931"/>
    <w:rsid w:val="00D134BD"/>
    <w:rsid w:val="00D14354"/>
    <w:rsid w:val="00D145C8"/>
    <w:rsid w:val="00D162F9"/>
    <w:rsid w:val="00D16D91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277D0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477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393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87A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56D7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241E"/>
    <w:rsid w:val="00E74FDE"/>
    <w:rsid w:val="00E7719B"/>
    <w:rsid w:val="00E8154A"/>
    <w:rsid w:val="00E81927"/>
    <w:rsid w:val="00E84553"/>
    <w:rsid w:val="00E85575"/>
    <w:rsid w:val="00E85CD2"/>
    <w:rsid w:val="00E87249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4185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071D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19863</Words>
  <Characters>11322</Characters>
  <Application>Microsoft Office Word</Application>
  <DocSecurity>0</DocSecurity>
  <Lines>94</Lines>
  <Paragraphs>62</Paragraphs>
  <ScaleCrop>false</ScaleCrop>
  <Company>AUN of PLWH</Company>
  <LinksUpToDate>false</LinksUpToDate>
  <CharactersWithSpaces>31123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Nataliia Petrushenko</cp:lastModifiedBy>
  <cp:revision>201</cp:revision>
  <cp:lastPrinted>2026-06-16T08:20:00Z</cp:lastPrinted>
  <dcterms:created xsi:type="dcterms:W3CDTF">2024-10-31T06:42:00Z</dcterms:created>
  <dcterms:modified xsi:type="dcterms:W3CDTF">2026-06-17T11:43:00Z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