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781C2F81" w14:textId="6CFEA36E" w:rsidR="00CC11E4" w:rsidRDefault="004C162F" w:rsidP="00F60B88">
      <w:pPr>
        <w:tabs>
          <w:tab w:val="left" w:pos="840"/>
          <w:tab w:val="right" w:pos="9900"/>
        </w:tabs>
        <w:jc w:val="right"/>
        <w:rPr>
          <w:b/>
          <w:bCs/>
          <w:sz w:val="22"/>
          <w:szCs w:val="22"/>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CC11E4" w:rsidRPr="00F60B88">
        <w:rPr>
          <w:b/>
          <w:bCs/>
          <w:lang w:val="uk-UA"/>
        </w:rPr>
        <w:t>«</w:t>
      </w:r>
      <w:r w:rsidR="00F60B88" w:rsidRPr="00F60B88">
        <w:rPr>
          <w:b/>
          <w:bCs/>
          <w:lang w:val="uk-UA"/>
        </w:rPr>
        <w:t>28» травня 2026 р.</w:t>
      </w:r>
      <w:r w:rsidRPr="214B7DDD">
        <w:rPr>
          <w:b/>
          <w:bCs/>
          <w:sz w:val="22"/>
          <w:szCs w:val="22"/>
        </w:rPr>
        <w:t xml:space="preserve"> </w:t>
      </w:r>
    </w:p>
    <w:p w14:paraId="5B2DF444" w14:textId="119ABB9D" w:rsidR="004C162F" w:rsidRPr="00CC11E4" w:rsidRDefault="001B712B" w:rsidP="00CC11E4">
      <w:pPr>
        <w:tabs>
          <w:tab w:val="left" w:pos="840"/>
          <w:tab w:val="right" w:pos="9900"/>
        </w:tabs>
        <w:jc w:val="right"/>
        <w:rPr>
          <w:b/>
          <w:bCs/>
          <w:sz w:val="22"/>
          <w:szCs w:val="22"/>
          <w:lang w:val="uk-UA"/>
        </w:rPr>
      </w:pPr>
      <w:r w:rsidRPr="00CC11E4">
        <w:rPr>
          <w:b/>
          <w:bCs/>
          <w:strike/>
          <w:color w:val="EE0000"/>
          <w:sz w:val="22"/>
          <w:szCs w:val="22"/>
          <w:lang w:val="uk-UA"/>
        </w:rPr>
        <w:t>«21</w:t>
      </w:r>
      <w:r w:rsidR="004C162F" w:rsidRPr="00CC11E4">
        <w:rPr>
          <w:b/>
          <w:bCs/>
          <w:strike/>
          <w:color w:val="EE0000"/>
          <w:sz w:val="22"/>
          <w:szCs w:val="22"/>
        </w:rPr>
        <w:t xml:space="preserve">» </w:t>
      </w:r>
      <w:r w:rsidRPr="00CC11E4">
        <w:rPr>
          <w:b/>
          <w:bCs/>
          <w:strike/>
          <w:color w:val="EE0000"/>
          <w:sz w:val="22"/>
          <w:szCs w:val="22"/>
          <w:lang w:val="uk-UA"/>
        </w:rPr>
        <w:t>травня</w:t>
      </w:r>
      <w:r w:rsidR="004C162F" w:rsidRPr="00CC11E4">
        <w:rPr>
          <w:b/>
          <w:bCs/>
          <w:strike/>
          <w:color w:val="EE0000"/>
          <w:sz w:val="22"/>
          <w:szCs w:val="22"/>
        </w:rPr>
        <w:t xml:space="preserve"> 202</w:t>
      </w:r>
      <w:r w:rsidR="00273CC8" w:rsidRPr="00CC11E4">
        <w:rPr>
          <w:b/>
          <w:bCs/>
          <w:strike/>
          <w:color w:val="EE0000"/>
          <w:sz w:val="22"/>
          <w:szCs w:val="22"/>
          <w:lang w:val="uk-UA"/>
        </w:rPr>
        <w:t>6</w:t>
      </w:r>
      <w:r w:rsidR="004C162F" w:rsidRPr="00CC11E4">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4C82050D" w:rsidR="00203564" w:rsidRPr="00DF6177"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341B90" w:rsidRPr="00341B90">
        <w:rPr>
          <w:b/>
          <w:i/>
          <w:iCs/>
          <w:color w:val="000000" w:themeColor="text1"/>
          <w:lang w:val="uk-UA"/>
        </w:rPr>
        <w:t>3025</w:t>
      </w:r>
      <w:r w:rsidR="00341B90" w:rsidRPr="00341B90">
        <w:rPr>
          <w:b/>
          <w:i/>
          <w:iCs/>
          <w:color w:val="000000" w:themeColor="text1"/>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1FE550F"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2B3BFB">
        <w:rPr>
          <w:sz w:val="22"/>
          <w:szCs w:val="22"/>
          <w:lang w:val="uk-UA"/>
        </w:rPr>
        <w:t xml:space="preserve"> продовження </w:t>
      </w:r>
      <w:r w:rsidR="00D96756" w:rsidRPr="00E43961">
        <w:rPr>
          <w:sz w:val="22"/>
          <w:szCs w:val="22"/>
          <w:lang w:val="uk-UA"/>
        </w:rPr>
        <w:t>конкурс</w:t>
      </w:r>
      <w:r w:rsidR="002B3BFB">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DF6177">
        <w:rPr>
          <w:sz w:val="22"/>
          <w:szCs w:val="22"/>
          <w:lang w:val="uk-UA"/>
        </w:rPr>
        <w:t xml:space="preserve"> </w:t>
      </w:r>
      <w:proofErr w:type="spellStart"/>
      <w:r w:rsidR="00DF6177">
        <w:rPr>
          <w:sz w:val="22"/>
          <w:szCs w:val="22"/>
          <w:lang w:val="uk-UA"/>
        </w:rPr>
        <w:t>павербанк</w:t>
      </w:r>
      <w:r w:rsidR="001B712B">
        <w:rPr>
          <w:sz w:val="22"/>
          <w:szCs w:val="22"/>
          <w:lang w:val="uk-UA"/>
        </w:rPr>
        <w:t>ів</w:t>
      </w:r>
      <w:proofErr w:type="spellEnd"/>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86737D6" w:rsidR="00A206D9" w:rsidRPr="00E43961" w:rsidRDefault="004463D5" w:rsidP="00A841AA">
            <w:pPr>
              <w:rPr>
                <w:bCs/>
                <w:sz w:val="22"/>
                <w:szCs w:val="22"/>
                <w:lang w:val="uk-UA"/>
              </w:rPr>
            </w:pPr>
            <w:r w:rsidRPr="004463D5">
              <w:rPr>
                <w:bCs/>
                <w:sz w:val="22"/>
                <w:szCs w:val="22"/>
                <w:lang w:val="uk-UA"/>
              </w:rPr>
              <w:t>Універсальна мобільна батарея (</w:t>
            </w:r>
            <w:proofErr w:type="spellStart"/>
            <w:r w:rsidRPr="004463D5">
              <w:rPr>
                <w:bCs/>
                <w:sz w:val="22"/>
                <w:szCs w:val="22"/>
                <w:lang w:val="uk-UA"/>
              </w:rPr>
              <w:t>Power</w:t>
            </w:r>
            <w:proofErr w:type="spellEnd"/>
            <w:r w:rsidRPr="004463D5">
              <w:rPr>
                <w:bCs/>
                <w:sz w:val="22"/>
                <w:szCs w:val="22"/>
                <w:lang w:val="uk-UA"/>
              </w:rPr>
              <w:t xml:space="preserve"> </w:t>
            </w:r>
            <w:proofErr w:type="spellStart"/>
            <w:r w:rsidRPr="004463D5">
              <w:rPr>
                <w:bCs/>
                <w:sz w:val="22"/>
                <w:szCs w:val="22"/>
                <w:lang w:val="uk-UA"/>
              </w:rPr>
              <w:t>Bank</w:t>
            </w:r>
            <w:proofErr w:type="spellEnd"/>
            <w:r w:rsidRPr="004463D5">
              <w:rPr>
                <w:bCs/>
                <w:sz w:val="22"/>
                <w:szCs w:val="22"/>
                <w:lang w:val="uk-UA"/>
              </w:rPr>
              <w:t xml:space="preserve">) типу </w:t>
            </w:r>
            <w:proofErr w:type="spellStart"/>
            <w:r w:rsidRPr="004463D5">
              <w:rPr>
                <w:bCs/>
                <w:sz w:val="22"/>
                <w:szCs w:val="22"/>
                <w:lang w:val="uk-UA"/>
              </w:rPr>
              <w:t>Ugreen</w:t>
            </w:r>
            <w:proofErr w:type="spellEnd"/>
            <w:r w:rsidRPr="004463D5">
              <w:rPr>
                <w:bCs/>
                <w:sz w:val="22"/>
                <w:szCs w:val="22"/>
                <w:lang w:val="uk-UA"/>
              </w:rPr>
              <w:t xml:space="preserve"> PB770 48000mAh 300W PD LED або аналог</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0EC5C468"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796C3C">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3C628EA" w:rsidR="00A206D9" w:rsidRPr="00E43961" w:rsidRDefault="00A206D9" w:rsidP="006D0A0B">
            <w:pPr>
              <w:jc w:val="center"/>
              <w:rPr>
                <w:bCs/>
                <w:sz w:val="22"/>
                <w:szCs w:val="22"/>
                <w:lang w:val="uk-UA"/>
              </w:rPr>
            </w:pPr>
            <w:r w:rsidRPr="00E43961">
              <w:rPr>
                <w:bCs/>
                <w:sz w:val="22"/>
                <w:szCs w:val="22"/>
                <w:lang w:val="uk-UA"/>
              </w:rPr>
              <w:t>Деталі в Додатку №</w:t>
            </w:r>
            <w:r w:rsidR="00796C3C">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6DA38609" w:rsidR="00A17356" w:rsidRPr="00796C3C"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796C3C">
        <w:rPr>
          <w:b/>
          <w:sz w:val="22"/>
          <w:szCs w:val="22"/>
          <w:lang w:val="uk-UA"/>
        </w:rPr>
        <w:t xml:space="preserve">до </w:t>
      </w:r>
      <w:r w:rsidR="00A6302E" w:rsidRPr="00796C3C">
        <w:rPr>
          <w:b/>
          <w:sz w:val="22"/>
          <w:szCs w:val="22"/>
          <w:lang w:val="uk-UA"/>
        </w:rPr>
        <w:t>30</w:t>
      </w:r>
      <w:r w:rsidR="008255D0" w:rsidRPr="00796C3C">
        <w:rPr>
          <w:b/>
          <w:sz w:val="22"/>
          <w:szCs w:val="22"/>
          <w:lang w:val="uk-UA"/>
        </w:rPr>
        <w:t xml:space="preserve"> календарних днів з моменту укладення договору</w:t>
      </w:r>
      <w:r w:rsidR="00A6302E" w:rsidRPr="00796C3C">
        <w:rPr>
          <w:b/>
          <w:sz w:val="22"/>
          <w:szCs w:val="22"/>
          <w:lang w:val="uk-UA"/>
        </w:rPr>
        <w:t>.</w:t>
      </w:r>
    </w:p>
    <w:p w14:paraId="3FA70CD0" w14:textId="5F258AAA" w:rsidR="00E95E3E" w:rsidRPr="00524231"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Місце поставки товарів:</w:t>
      </w:r>
      <w:r w:rsidR="00A6302E">
        <w:rPr>
          <w:b/>
          <w:sz w:val="22"/>
          <w:szCs w:val="22"/>
          <w:lang w:val="uk-UA"/>
        </w:rPr>
        <w:t xml:space="preserve"> </w:t>
      </w:r>
      <w:proofErr w:type="spellStart"/>
      <w:r w:rsidR="00A6302E">
        <w:rPr>
          <w:b/>
          <w:sz w:val="22"/>
          <w:szCs w:val="22"/>
          <w:lang w:val="uk-UA"/>
        </w:rPr>
        <w:t>м.Ки</w:t>
      </w:r>
      <w:r w:rsidR="00524231">
        <w:rPr>
          <w:b/>
          <w:sz w:val="22"/>
          <w:szCs w:val="22"/>
          <w:lang w:val="uk-UA"/>
        </w:rPr>
        <w:t>їв</w:t>
      </w:r>
      <w:proofErr w:type="spellEnd"/>
      <w:r w:rsidRPr="00E43961">
        <w:rPr>
          <w:b/>
          <w:sz w:val="22"/>
          <w:szCs w:val="22"/>
          <w:lang w:val="uk-UA"/>
        </w:rPr>
        <w:t xml:space="preserve"> </w:t>
      </w:r>
      <w:r w:rsidR="00524231" w:rsidRPr="00524231">
        <w:rPr>
          <w:b/>
          <w:i/>
          <w:iCs/>
          <w:color w:val="000000" w:themeColor="text1"/>
          <w:sz w:val="22"/>
          <w:szCs w:val="22"/>
          <w:lang w:val="uk-UA"/>
        </w:rPr>
        <w:t>(</w:t>
      </w:r>
      <w:r w:rsidR="00372955" w:rsidRPr="00524231">
        <w:rPr>
          <w:b/>
          <w:i/>
          <w:iCs/>
          <w:color w:val="000000" w:themeColor="text1"/>
          <w:sz w:val="22"/>
          <w:szCs w:val="22"/>
          <w:lang w:val="uk-UA"/>
        </w:rPr>
        <w:t>точна адреса буде надана переможцю закупівлі під час підписання договору</w:t>
      </w:r>
      <w:r w:rsidR="00524231" w:rsidRPr="00524231">
        <w:rPr>
          <w:b/>
          <w:i/>
          <w:iCs/>
          <w:color w:val="000000" w:themeColor="text1"/>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502"/>
        <w:gridCol w:w="5059"/>
      </w:tblGrid>
      <w:tr w:rsidR="00C7577B" w:rsidRPr="00CC11E4" w14:paraId="611A6914" w14:textId="77777777" w:rsidTr="00524231">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502"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059"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524231">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059"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CC11E4" w14:paraId="218232E4" w14:textId="77777777" w:rsidTr="00524231">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066245E6" w14:textId="4FC23FB3" w:rsidR="00C7577B" w:rsidRPr="009938D1" w:rsidRDefault="00BC7E5F" w:rsidP="00CE0685">
            <w:pPr>
              <w:pStyle w:val="ac"/>
              <w:spacing w:before="0" w:beforeAutospacing="0" w:after="0" w:afterAutospacing="0"/>
              <w:rPr>
                <w:rFonts w:ascii="Times New Roman" w:hAnsi="Times New Roman" w:cs="Times New Roman"/>
                <w:b/>
                <w:bCs/>
                <w:sz w:val="22"/>
                <w:szCs w:val="22"/>
                <w:lang w:val="uk-UA"/>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059"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C869155" w14:textId="7016D11C" w:rsidR="00C7577B" w:rsidRPr="00E43961" w:rsidRDefault="00C7577B" w:rsidP="009938D1">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524231">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059"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524231">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059"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CC11E4" w14:paraId="53A03420" w14:textId="77777777" w:rsidTr="00524231">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059"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524231">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059"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524231">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059"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524231">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502"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059"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524231">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502"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059"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70CBC021"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117C93">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462DA7BB"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247F21">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6C74A275"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4C4063B1"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14CA14F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9446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1CC4D831"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F5B1DA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9446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276FCA1"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BA3773" w:rsidRPr="00BA3773">
        <w:rPr>
          <w:b/>
          <w:bCs/>
          <w:color w:val="000000" w:themeColor="text1"/>
          <w:sz w:val="22"/>
          <w:szCs w:val="22"/>
          <w:lang w:val="uk-UA" w:eastAsia="uk-UA"/>
        </w:rPr>
        <w:t>02.06.2026 року</w:t>
      </w:r>
      <w:r w:rsidRPr="214B7DDD">
        <w:rPr>
          <w:color w:val="000000" w:themeColor="text1"/>
          <w:sz w:val="22"/>
          <w:szCs w:val="22"/>
          <w:lang w:eastAsia="uk-UA"/>
        </w:rPr>
        <w:t xml:space="preserve"> </w:t>
      </w:r>
      <w:r w:rsidR="009B3402" w:rsidRPr="002B3BFB">
        <w:rPr>
          <w:strike/>
          <w:color w:val="EE0000"/>
          <w:sz w:val="22"/>
          <w:szCs w:val="22"/>
          <w:lang w:val="uk-UA" w:eastAsia="uk-UA"/>
        </w:rPr>
        <w:t>26</w:t>
      </w:r>
      <w:r w:rsidRPr="002B3BFB">
        <w:rPr>
          <w:strike/>
          <w:color w:val="EE0000"/>
          <w:sz w:val="22"/>
          <w:szCs w:val="22"/>
          <w:lang w:eastAsia="uk-UA"/>
        </w:rPr>
        <w:t>.</w:t>
      </w:r>
      <w:r w:rsidR="009B3402" w:rsidRPr="002B3BFB">
        <w:rPr>
          <w:strike/>
          <w:color w:val="EE0000"/>
          <w:sz w:val="22"/>
          <w:szCs w:val="22"/>
          <w:lang w:val="uk-UA" w:eastAsia="uk-UA"/>
        </w:rPr>
        <w:t>05</w:t>
      </w:r>
      <w:r w:rsidRPr="002B3BFB">
        <w:rPr>
          <w:strike/>
          <w:color w:val="EE0000"/>
          <w:sz w:val="22"/>
          <w:szCs w:val="22"/>
          <w:lang w:eastAsia="uk-UA"/>
        </w:rPr>
        <w:t>.202</w:t>
      </w:r>
      <w:r w:rsidR="009B3402" w:rsidRPr="002B3BFB">
        <w:rPr>
          <w:strike/>
          <w:color w:val="EE0000"/>
          <w:sz w:val="22"/>
          <w:szCs w:val="22"/>
          <w:lang w:val="uk-UA" w:eastAsia="uk-UA"/>
        </w:rPr>
        <w:t xml:space="preserve">6 </w:t>
      </w:r>
      <w:r w:rsidRPr="002B3BFB">
        <w:rPr>
          <w:strike/>
          <w:color w:val="EE0000"/>
          <w:sz w:val="22"/>
          <w:szCs w:val="22"/>
          <w:lang w:eastAsia="uk-UA"/>
        </w:rPr>
        <w:t>р</w:t>
      </w:r>
      <w:r w:rsidR="009B3402" w:rsidRPr="002B3BFB">
        <w:rPr>
          <w:strike/>
          <w:color w:val="EE0000"/>
          <w:sz w:val="22"/>
          <w:szCs w:val="22"/>
          <w:lang w:val="uk-UA" w:eastAsia="uk-UA"/>
        </w:rPr>
        <w:t>оку</w:t>
      </w:r>
      <w:r w:rsidRPr="002B3BFB">
        <w:rPr>
          <w:b/>
          <w:bCs/>
          <w:strike/>
          <w:color w:val="EE0000"/>
          <w:sz w:val="22"/>
          <w:szCs w:val="22"/>
          <w:lang w:eastAsia="uk-UA"/>
        </w:rPr>
        <w:t>.</w:t>
      </w:r>
      <w:r w:rsidRPr="002B3BFB">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BDF696B"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BA3773">
        <w:rPr>
          <w:b/>
          <w:bCs/>
          <w:color w:val="000000" w:themeColor="text1"/>
          <w:sz w:val="22"/>
          <w:szCs w:val="22"/>
          <w:lang w:val="uk-UA" w:eastAsia="uk-UA"/>
        </w:rPr>
        <w:t xml:space="preserve"> 03.06.2026 року</w:t>
      </w:r>
      <w:r w:rsidRPr="214B7DDD">
        <w:rPr>
          <w:b/>
          <w:bCs/>
          <w:color w:val="000000" w:themeColor="text1"/>
          <w:sz w:val="22"/>
          <w:szCs w:val="22"/>
          <w:lang w:eastAsia="uk-UA"/>
        </w:rPr>
        <w:t xml:space="preserve"> </w:t>
      </w:r>
      <w:r w:rsidR="009B3402" w:rsidRPr="002B3BFB">
        <w:rPr>
          <w:b/>
          <w:bCs/>
          <w:strike/>
          <w:color w:val="EE0000"/>
          <w:sz w:val="22"/>
          <w:szCs w:val="22"/>
          <w:lang w:val="uk-UA" w:eastAsia="uk-UA"/>
        </w:rPr>
        <w:t>27.05</w:t>
      </w:r>
      <w:r w:rsidRPr="002B3BFB">
        <w:rPr>
          <w:b/>
          <w:bCs/>
          <w:strike/>
          <w:color w:val="EE0000"/>
          <w:sz w:val="22"/>
          <w:szCs w:val="22"/>
          <w:lang w:eastAsia="uk-UA"/>
        </w:rPr>
        <w:t>.202</w:t>
      </w:r>
      <w:r w:rsidR="009B3402" w:rsidRPr="002B3BFB">
        <w:rPr>
          <w:b/>
          <w:bCs/>
          <w:strike/>
          <w:color w:val="EE0000"/>
          <w:sz w:val="22"/>
          <w:szCs w:val="22"/>
          <w:lang w:val="uk-UA" w:eastAsia="uk-UA"/>
        </w:rPr>
        <w:t>6</w:t>
      </w:r>
      <w:r w:rsidRPr="002B3BFB">
        <w:rPr>
          <w:b/>
          <w:bCs/>
          <w:strike/>
          <w:color w:val="EE0000"/>
          <w:sz w:val="22"/>
          <w:szCs w:val="22"/>
          <w:lang w:eastAsia="uk-UA"/>
        </w:rPr>
        <w:t xml:space="preserve"> року</w:t>
      </w:r>
      <w:r w:rsidRPr="002B3BFB">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235C1E9"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524231">
        <w:rPr>
          <w:i/>
          <w:iCs/>
          <w:sz w:val="22"/>
          <w:szCs w:val="22"/>
          <w:highlight w:val="yellow"/>
          <w:lang w:val="uk-UA"/>
        </w:rPr>
        <w:t>:</w:t>
      </w:r>
      <w:r w:rsidRPr="00524231">
        <w:rPr>
          <w:sz w:val="22"/>
          <w:szCs w:val="22"/>
          <w:highlight w:val="yellow"/>
          <w:lang w:val="uk-UA"/>
        </w:rPr>
        <w:t xml:space="preserve"> </w:t>
      </w:r>
      <w:r w:rsidR="004A7165" w:rsidRPr="00524231">
        <w:rPr>
          <w:bCs/>
          <w:sz w:val="22"/>
          <w:szCs w:val="22"/>
          <w:highlight w:val="yellow"/>
          <w:lang w:val="uk-UA"/>
        </w:rPr>
        <w:t>№</w:t>
      </w:r>
      <w:r w:rsidR="00F9446D" w:rsidRPr="00524231">
        <w:rPr>
          <w:bCs/>
          <w:sz w:val="22"/>
          <w:szCs w:val="22"/>
          <w:highlight w:val="yellow"/>
          <w:lang w:val="uk-UA"/>
        </w:rPr>
        <w:t>3025</w:t>
      </w:r>
      <w:r w:rsidR="00F9446D" w:rsidRPr="00524231">
        <w:rPr>
          <w:bCs/>
          <w:sz w:val="22"/>
          <w:szCs w:val="22"/>
          <w:highlight w:val="yellow"/>
          <w:lang w:val="en-US"/>
        </w:rPr>
        <w:t>NP</w:t>
      </w:r>
      <w:r w:rsidR="00F9446D" w:rsidRPr="00524231">
        <w:rPr>
          <w:bCs/>
          <w:sz w:val="22"/>
          <w:szCs w:val="22"/>
          <w:highlight w:val="yellow"/>
        </w:rPr>
        <w:t>_</w:t>
      </w:r>
      <w:r w:rsidRPr="00524231">
        <w:rPr>
          <w:sz w:val="22"/>
          <w:szCs w:val="22"/>
          <w:highlight w:val="yellow"/>
          <w:lang w:val="uk-UA"/>
        </w:rPr>
        <w:t>Конкурс на  місцеву закупівлю</w:t>
      </w:r>
      <w:r w:rsidRPr="00524231">
        <w:rPr>
          <w:bCs/>
          <w:highlight w:val="yellow"/>
          <w:lang w:val="uk-UA"/>
        </w:rPr>
        <w:t xml:space="preserve"> </w:t>
      </w:r>
      <w:proofErr w:type="spellStart"/>
      <w:r w:rsidR="0067122C" w:rsidRPr="009B3402">
        <w:rPr>
          <w:bCs/>
          <w:highlight w:val="yellow"/>
          <w:lang w:val="uk-UA"/>
        </w:rPr>
        <w:t>павербанк</w:t>
      </w:r>
      <w:r w:rsidR="009B3402" w:rsidRPr="009B3402">
        <w:rPr>
          <w:bCs/>
          <w:highlight w:val="yellow"/>
          <w:lang w:val="uk-UA"/>
        </w:rPr>
        <w:t>ів</w:t>
      </w:r>
      <w:proofErr w:type="spellEnd"/>
      <w:r w:rsidR="006D0A0B" w:rsidRPr="009B3402">
        <w:rPr>
          <w:color w:val="0963A9"/>
          <w:sz w:val="22"/>
          <w:szCs w:val="22"/>
          <w:highlight w:val="yellow"/>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w:t>
      </w:r>
      <w:r w:rsidR="00A42C7B" w:rsidRPr="00E43961">
        <w:rPr>
          <w:iCs/>
          <w:sz w:val="22"/>
          <w:szCs w:val="22"/>
          <w:lang w:val="uk-UA"/>
        </w:rPr>
        <w:lastRenderedPageBreak/>
        <w:t xml:space="preserve">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66F7D23" w:rsidR="00142094" w:rsidRPr="00E43961" w:rsidRDefault="002A13C5" w:rsidP="0067122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7122C"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w:t>
      </w:r>
      <w:r w:rsidRPr="00E43961">
        <w:rPr>
          <w:bCs/>
          <w:spacing w:val="-4"/>
          <w:sz w:val="22"/>
          <w:szCs w:val="22"/>
          <w:lang w:val="uk-UA"/>
        </w:rPr>
        <w:lastRenderedPageBreak/>
        <w:t>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35769081" w:rsidR="00586326" w:rsidRPr="00E43961" w:rsidRDefault="00586326" w:rsidP="0067122C">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7A81" w14:textId="77777777" w:rsidR="00A573C4" w:rsidRDefault="00A573C4" w:rsidP="00B948CF">
      <w:r>
        <w:separator/>
      </w:r>
    </w:p>
  </w:endnote>
  <w:endnote w:type="continuationSeparator" w:id="0">
    <w:p w14:paraId="1FF77464" w14:textId="77777777" w:rsidR="00A573C4" w:rsidRDefault="00A573C4" w:rsidP="00B948CF">
      <w:r>
        <w:continuationSeparator/>
      </w:r>
    </w:p>
  </w:endnote>
  <w:endnote w:type="continuationNotice" w:id="1">
    <w:p w14:paraId="6B4C9C04" w14:textId="77777777" w:rsidR="00A573C4" w:rsidRDefault="00A57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CA16" w14:textId="77777777" w:rsidR="00A573C4" w:rsidRDefault="00A573C4" w:rsidP="00B948CF">
      <w:r>
        <w:separator/>
      </w:r>
    </w:p>
  </w:footnote>
  <w:footnote w:type="continuationSeparator" w:id="0">
    <w:p w14:paraId="7AF434FB" w14:textId="77777777" w:rsidR="00A573C4" w:rsidRDefault="00A573C4" w:rsidP="00B948CF">
      <w:r>
        <w:continuationSeparator/>
      </w:r>
    </w:p>
  </w:footnote>
  <w:footnote w:type="continuationNotice" w:id="1">
    <w:p w14:paraId="217D12D0" w14:textId="77777777" w:rsidR="00A573C4" w:rsidRDefault="00A573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17C93"/>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0825"/>
    <w:rsid w:val="00183480"/>
    <w:rsid w:val="0018477F"/>
    <w:rsid w:val="00190E98"/>
    <w:rsid w:val="001A05AD"/>
    <w:rsid w:val="001A070B"/>
    <w:rsid w:val="001A2D18"/>
    <w:rsid w:val="001A3FA5"/>
    <w:rsid w:val="001A4674"/>
    <w:rsid w:val="001B003C"/>
    <w:rsid w:val="001B24C7"/>
    <w:rsid w:val="001B3130"/>
    <w:rsid w:val="001B5B1B"/>
    <w:rsid w:val="001B712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F21"/>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3BFB"/>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1B9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463D5"/>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4231"/>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22C"/>
    <w:rsid w:val="00671F8F"/>
    <w:rsid w:val="00675834"/>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57DD"/>
    <w:rsid w:val="00776430"/>
    <w:rsid w:val="00776661"/>
    <w:rsid w:val="0077709F"/>
    <w:rsid w:val="00777642"/>
    <w:rsid w:val="0078286C"/>
    <w:rsid w:val="00783ECC"/>
    <w:rsid w:val="007866E4"/>
    <w:rsid w:val="00786985"/>
    <w:rsid w:val="00790622"/>
    <w:rsid w:val="00790866"/>
    <w:rsid w:val="00791AC0"/>
    <w:rsid w:val="00796C3C"/>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38D1"/>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B3402"/>
    <w:rsid w:val="009C3D48"/>
    <w:rsid w:val="009C3FE8"/>
    <w:rsid w:val="009C4606"/>
    <w:rsid w:val="009C4EFF"/>
    <w:rsid w:val="009D6F31"/>
    <w:rsid w:val="009E0D0D"/>
    <w:rsid w:val="009E55E9"/>
    <w:rsid w:val="009F1FAA"/>
    <w:rsid w:val="009F5280"/>
    <w:rsid w:val="00A05FE3"/>
    <w:rsid w:val="00A07B0B"/>
    <w:rsid w:val="00A1068D"/>
    <w:rsid w:val="00A10C4E"/>
    <w:rsid w:val="00A10E6F"/>
    <w:rsid w:val="00A12EC0"/>
    <w:rsid w:val="00A17356"/>
    <w:rsid w:val="00A206D9"/>
    <w:rsid w:val="00A217DF"/>
    <w:rsid w:val="00A34CC2"/>
    <w:rsid w:val="00A37570"/>
    <w:rsid w:val="00A42C7B"/>
    <w:rsid w:val="00A43868"/>
    <w:rsid w:val="00A514CD"/>
    <w:rsid w:val="00A526B6"/>
    <w:rsid w:val="00A545A6"/>
    <w:rsid w:val="00A56CE1"/>
    <w:rsid w:val="00A573C4"/>
    <w:rsid w:val="00A60480"/>
    <w:rsid w:val="00A6302E"/>
    <w:rsid w:val="00A63A8E"/>
    <w:rsid w:val="00A64BD3"/>
    <w:rsid w:val="00A66B46"/>
    <w:rsid w:val="00A66CEA"/>
    <w:rsid w:val="00A6747C"/>
    <w:rsid w:val="00A70CEA"/>
    <w:rsid w:val="00A70FB4"/>
    <w:rsid w:val="00A730C7"/>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3773"/>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1E4"/>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0D1"/>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177"/>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0B88"/>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446D"/>
    <w:rsid w:val="00F979AA"/>
    <w:rsid w:val="00F97BF4"/>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10463</Words>
  <Characters>5965</Characters>
  <Application>Microsoft Office Word</Application>
  <DocSecurity>0</DocSecurity>
  <Lines>49</Lines>
  <Paragraphs>32</Paragraphs>
  <ScaleCrop>false</ScaleCrop>
  <Company>AUN of PLWH</Company>
  <LinksUpToDate>false</LinksUpToDate>
  <CharactersWithSpaces>16396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151</cp:revision>
  <cp:lastPrinted>2023-07-06T09:44:00Z</cp:lastPrinted>
  <dcterms:created xsi:type="dcterms:W3CDTF">2024-10-30T12:29:00Z</dcterms:created>
  <dcterms:modified xsi:type="dcterms:W3CDTF">2026-05-28T05:44:00Z</dcterms:modified>
</cp:coreProperties>
</file>