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9255B1C"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proofErr w:type="gramStart"/>
      <w:r w:rsidR="00FC1FF6" w:rsidRPr="7A33B6AD">
        <w:rPr>
          <w:b/>
          <w:bCs/>
          <w:sz w:val="22"/>
          <w:szCs w:val="22"/>
        </w:rPr>
        <w:t xml:space="preserve">   </w:t>
      </w:r>
      <w:r w:rsidRPr="009257DD">
        <w:rPr>
          <w:b/>
          <w:bCs/>
          <w:sz w:val="22"/>
          <w:szCs w:val="22"/>
        </w:rPr>
        <w:t>«</w:t>
      </w:r>
      <w:proofErr w:type="gramEnd"/>
      <w:r w:rsidR="006A43B7" w:rsidRPr="009257DD">
        <w:rPr>
          <w:b/>
          <w:bCs/>
          <w:sz w:val="22"/>
          <w:szCs w:val="22"/>
          <w:lang w:val="uk-UA"/>
        </w:rPr>
        <w:t>13</w:t>
      </w:r>
      <w:r w:rsidRPr="009257DD">
        <w:rPr>
          <w:b/>
          <w:bCs/>
          <w:sz w:val="22"/>
          <w:szCs w:val="22"/>
        </w:rPr>
        <w:t>»</w:t>
      </w:r>
      <w:r w:rsidR="006D0A0B" w:rsidRPr="009257DD">
        <w:rPr>
          <w:b/>
          <w:bCs/>
          <w:sz w:val="22"/>
          <w:szCs w:val="22"/>
        </w:rPr>
        <w:t xml:space="preserve"> </w:t>
      </w:r>
      <w:r w:rsidR="006A43B7" w:rsidRPr="009257DD">
        <w:rPr>
          <w:b/>
          <w:bCs/>
          <w:sz w:val="22"/>
          <w:szCs w:val="22"/>
          <w:lang w:val="uk-UA"/>
        </w:rPr>
        <w:t>травня</w:t>
      </w:r>
      <w:r w:rsidR="006D0A0B" w:rsidRPr="009257DD">
        <w:rPr>
          <w:b/>
          <w:bCs/>
          <w:sz w:val="22"/>
          <w:szCs w:val="22"/>
        </w:rPr>
        <w:t xml:space="preserve"> </w:t>
      </w:r>
      <w:r w:rsidRPr="009257DD">
        <w:rPr>
          <w:b/>
          <w:bCs/>
          <w:sz w:val="22"/>
          <w:szCs w:val="22"/>
        </w:rPr>
        <w:t>20</w:t>
      </w:r>
      <w:r w:rsidR="00FC1FF6" w:rsidRPr="009257DD">
        <w:rPr>
          <w:b/>
          <w:bCs/>
          <w:sz w:val="22"/>
          <w:szCs w:val="22"/>
        </w:rPr>
        <w:t>2</w:t>
      </w:r>
      <w:r w:rsidR="006A43B7" w:rsidRPr="009257DD">
        <w:rPr>
          <w:b/>
          <w:bCs/>
          <w:sz w:val="22"/>
          <w:szCs w:val="22"/>
          <w:lang w:val="uk-UA"/>
        </w:rPr>
        <w:t>6</w:t>
      </w:r>
      <w:r w:rsidR="002B1748" w:rsidRPr="009257DD">
        <w:rPr>
          <w:b/>
          <w:bCs/>
          <w:sz w:val="22"/>
          <w:szCs w:val="22"/>
        </w:rPr>
        <w:t xml:space="preserve"> </w:t>
      </w:r>
      <w:r w:rsidRPr="009257DD">
        <w:rPr>
          <w:b/>
          <w:bCs/>
          <w:sz w:val="22"/>
          <w:szCs w:val="22"/>
        </w:rPr>
        <w:t>р.</w:t>
      </w:r>
    </w:p>
    <w:p w14:paraId="09D3CC02" w14:textId="77777777" w:rsidR="00606079" w:rsidRDefault="00606079" w:rsidP="00F27382">
      <w:pPr>
        <w:rPr>
          <w:b/>
          <w:sz w:val="22"/>
          <w:szCs w:val="22"/>
          <w:lang w:val="uk-UA"/>
        </w:rPr>
      </w:pPr>
    </w:p>
    <w:p w14:paraId="1D461A42" w14:textId="70A99F95" w:rsidR="00203564" w:rsidRPr="00D271B9" w:rsidRDefault="00203564" w:rsidP="1E0F0251">
      <w:pPr>
        <w:ind w:left="142" w:firstLine="284"/>
        <w:jc w:val="center"/>
        <w:rPr>
          <w:b/>
          <w:bCs/>
          <w:sz w:val="22"/>
          <w:szCs w:val="22"/>
          <w:lang w:val="en-US"/>
        </w:rPr>
      </w:pPr>
      <w:r w:rsidRPr="1E0F0251">
        <w:rPr>
          <w:b/>
          <w:bCs/>
          <w:sz w:val="22"/>
          <w:szCs w:val="22"/>
        </w:rPr>
        <w:t>ЗАПИТ ЦІНОВИХ ПРОПОЗИЦІЙ</w:t>
      </w:r>
      <w:r w:rsidR="00225B63" w:rsidRPr="1E0F0251">
        <w:rPr>
          <w:b/>
          <w:bCs/>
          <w:sz w:val="22"/>
          <w:szCs w:val="22"/>
        </w:rPr>
        <w:t>_</w:t>
      </w:r>
      <w:r w:rsidR="00D271B9">
        <w:rPr>
          <w:b/>
          <w:bCs/>
          <w:sz w:val="22"/>
          <w:szCs w:val="22"/>
          <w:lang w:val="uk-UA"/>
        </w:rPr>
        <w:t>3000</w:t>
      </w:r>
      <w:r w:rsidR="00D271B9">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849305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F68DA" w:rsidRPr="00446C24">
        <w:rPr>
          <w:sz w:val="22"/>
          <w:szCs w:val="22"/>
          <w:lang w:val="uk-UA"/>
        </w:rPr>
        <w:t>послуг з аудиту проєкту «</w:t>
      </w:r>
      <w:r w:rsidR="001F68DA" w:rsidRPr="000E18DC">
        <w:rPr>
          <w:sz w:val="22"/>
          <w:szCs w:val="22"/>
          <w:lang w:val="uk-UA"/>
        </w:rPr>
        <w:t>Залучення до охорони здоров'я та надання допомоги, включаючи довгострокову трансформацію та гуманітарну підтримку</w:t>
      </w:r>
      <w:r w:rsidR="001F68DA" w:rsidRPr="002F6524">
        <w:rPr>
          <w:sz w:val="22"/>
          <w:szCs w:val="22"/>
          <w:lang w:val="uk-UA"/>
        </w:rPr>
        <w:t xml:space="preserve">», </w:t>
      </w:r>
      <w:r w:rsidR="001F68DA" w:rsidRPr="002F6524">
        <w:rPr>
          <w:lang w:val="uk-UA"/>
        </w:rPr>
        <w:t>що здійснюється за підтримки</w:t>
      </w:r>
      <w:r w:rsidR="001F68DA" w:rsidRPr="002F6524">
        <w:rPr>
          <w:sz w:val="22"/>
          <w:szCs w:val="22"/>
          <w:lang w:val="uk-UA"/>
        </w:rPr>
        <w:t xml:space="preserve"> Австрійського Червоного Хреста (АЧХ).</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906"/>
        <w:gridCol w:w="1701"/>
        <w:gridCol w:w="2155"/>
      </w:tblGrid>
      <w:tr w:rsidR="00A206D9" w:rsidRPr="000F5452" w14:paraId="428F6868" w14:textId="77777777" w:rsidTr="00B53AF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90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701"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155"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B53AF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5906" w:type="dxa"/>
            <w:tcBorders>
              <w:top w:val="single" w:sz="4" w:space="0" w:color="auto"/>
              <w:left w:val="single" w:sz="4" w:space="0" w:color="auto"/>
              <w:bottom w:val="single" w:sz="4" w:space="0" w:color="auto"/>
              <w:right w:val="single" w:sz="4" w:space="0" w:color="auto"/>
            </w:tcBorders>
            <w:vAlign w:val="center"/>
          </w:tcPr>
          <w:p w14:paraId="68E32E75" w14:textId="54AAA3F6" w:rsidR="00A206D9" w:rsidRPr="00142094" w:rsidRDefault="00B53AF0" w:rsidP="00A841AA">
            <w:pPr>
              <w:rPr>
                <w:bCs/>
                <w:sz w:val="22"/>
                <w:szCs w:val="22"/>
                <w:lang w:val="uk-UA"/>
              </w:rPr>
            </w:pPr>
            <w:r w:rsidRPr="00937FB5">
              <w:rPr>
                <w:bCs/>
                <w:sz w:val="22"/>
                <w:szCs w:val="22"/>
                <w:lang w:val="uk-UA"/>
              </w:rPr>
              <w:t xml:space="preserve">Послуги </w:t>
            </w:r>
            <w:r w:rsidRPr="00937FB5">
              <w:rPr>
                <w:sz w:val="22"/>
                <w:szCs w:val="22"/>
                <w:lang w:val="uk-UA"/>
              </w:rPr>
              <w:t xml:space="preserve">з </w:t>
            </w:r>
            <w:r w:rsidRPr="00937FB5">
              <w:rPr>
                <w:lang w:val="uk-UA"/>
              </w:rPr>
              <w:t>фінансового аудиту проєкту</w:t>
            </w:r>
            <w:r w:rsidRPr="00937FB5">
              <w:rPr>
                <w:sz w:val="22"/>
                <w:szCs w:val="22"/>
                <w:lang w:val="uk-UA"/>
              </w:rPr>
              <w:t xml:space="preserve"> «</w:t>
            </w:r>
            <w:r w:rsidRPr="00747E7E">
              <w:rPr>
                <w:sz w:val="22"/>
                <w:szCs w:val="22"/>
                <w:lang w:val="uk-UA"/>
              </w:rPr>
              <w:t>Залучення до охорони здоров'я та надання допомоги, включаючи довгострокову трансформацію та гуманітарну підтримку</w:t>
            </w:r>
            <w:r w:rsidRPr="00937FB5">
              <w:rPr>
                <w:sz w:val="22"/>
                <w:szCs w:val="22"/>
                <w:lang w:val="uk-UA"/>
              </w:rPr>
              <w:t xml:space="preserve">» </w:t>
            </w:r>
            <w:r w:rsidRPr="00937FB5">
              <w:rPr>
                <w:lang w:val="uk-UA"/>
              </w:rPr>
              <w:t>за підтримки АЧХ. Перевірка правильності і достовірності відображення фінансових операцій у бухгалтерському обліку та фінансовій звітності.</w:t>
            </w:r>
          </w:p>
        </w:tc>
        <w:tc>
          <w:tcPr>
            <w:tcW w:w="1701" w:type="dxa"/>
            <w:tcBorders>
              <w:top w:val="single" w:sz="4" w:space="0" w:color="auto"/>
              <w:left w:val="single" w:sz="4" w:space="0" w:color="auto"/>
              <w:bottom w:val="single" w:sz="4" w:space="0" w:color="auto"/>
              <w:right w:val="single" w:sz="4" w:space="0" w:color="auto"/>
            </w:tcBorders>
            <w:vAlign w:val="center"/>
          </w:tcPr>
          <w:p w14:paraId="5D5815E4" w14:textId="2ECD206E"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6A43B7">
              <w:rPr>
                <w:bCs/>
                <w:spacing w:val="-6"/>
                <w:sz w:val="22"/>
                <w:szCs w:val="22"/>
                <w:lang w:val="uk-UA"/>
              </w:rPr>
              <w:t>2</w:t>
            </w:r>
            <w:r>
              <w:rPr>
                <w:bCs/>
                <w:spacing w:val="-6"/>
                <w:sz w:val="22"/>
                <w:szCs w:val="22"/>
                <w:lang w:val="uk-UA"/>
              </w:rPr>
              <w:t xml:space="preserve"> до Запиту</w:t>
            </w:r>
          </w:p>
        </w:tc>
        <w:tc>
          <w:tcPr>
            <w:tcW w:w="2155" w:type="dxa"/>
            <w:tcBorders>
              <w:top w:val="single" w:sz="4" w:space="0" w:color="auto"/>
              <w:left w:val="single" w:sz="4" w:space="0" w:color="auto"/>
              <w:right w:val="single" w:sz="4" w:space="0" w:color="auto"/>
            </w:tcBorders>
            <w:vAlign w:val="center"/>
          </w:tcPr>
          <w:p w14:paraId="174CA0E0" w14:textId="41EAC808" w:rsidR="00A206D9" w:rsidRPr="00142094" w:rsidRDefault="00A206D9" w:rsidP="006D0A0B">
            <w:pPr>
              <w:jc w:val="center"/>
              <w:rPr>
                <w:bCs/>
                <w:sz w:val="22"/>
                <w:szCs w:val="22"/>
                <w:lang w:val="uk-UA"/>
              </w:rPr>
            </w:pPr>
            <w:r w:rsidRPr="006A43B7">
              <w:rPr>
                <w:bCs/>
                <w:sz w:val="22"/>
                <w:szCs w:val="22"/>
                <w:lang w:val="uk-UA"/>
              </w:rPr>
              <w:t>Деталі в Додатку №</w:t>
            </w:r>
            <w:r w:rsidR="006A43B7" w:rsidRPr="006A43B7">
              <w:rPr>
                <w:bCs/>
                <w:sz w:val="22"/>
                <w:szCs w:val="22"/>
                <w:lang w:val="uk-UA"/>
              </w:rPr>
              <w:t>1</w:t>
            </w:r>
            <w:r w:rsidRPr="006A43B7">
              <w:rPr>
                <w:bCs/>
                <w:sz w:val="22"/>
                <w:szCs w:val="22"/>
                <w:lang w:val="uk-UA"/>
              </w:rPr>
              <w:t>, Додатку №</w:t>
            </w:r>
            <w:r w:rsidR="006A43B7" w:rsidRPr="006A43B7">
              <w:rPr>
                <w:bCs/>
                <w:sz w:val="22"/>
                <w:szCs w:val="22"/>
                <w:lang w:val="uk-UA"/>
              </w:rPr>
              <w:t>2</w:t>
            </w:r>
            <w:r w:rsidRPr="006A43B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E15F68A"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F925CE">
        <w:rPr>
          <w:i/>
          <w:iCs/>
          <w:color w:val="000000"/>
          <w:sz w:val="20"/>
          <w:szCs w:val="20"/>
          <w:lang w:val="uk-UA" w:eastAsia="uk-UA"/>
        </w:rPr>
        <w:t xml:space="preserve">дії </w:t>
      </w:r>
      <w:r w:rsidR="00F925CE" w:rsidRPr="00F925CE">
        <w:rPr>
          <w:i/>
          <w:iCs/>
          <w:color w:val="000000"/>
          <w:sz w:val="20"/>
          <w:szCs w:val="20"/>
          <w:lang w:val="uk-UA" w:eastAsia="uk-UA"/>
        </w:rPr>
        <w:t>Д</w:t>
      </w:r>
      <w:r w:rsidR="00F925CE">
        <w:rPr>
          <w:i/>
          <w:iCs/>
          <w:color w:val="000000"/>
          <w:sz w:val="20"/>
          <w:szCs w:val="20"/>
          <w:lang w:val="uk-UA" w:eastAsia="uk-UA"/>
        </w:rPr>
        <w:t>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380DDE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F925CE">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2E2E5DA"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9E32BC">
        <w:rPr>
          <w:b/>
          <w:sz w:val="22"/>
          <w:szCs w:val="22"/>
          <w:lang w:val="uk-UA"/>
        </w:rPr>
        <w:t>ий термін</w:t>
      </w:r>
      <w:r w:rsidRPr="005A5F8A">
        <w:rPr>
          <w:b/>
          <w:sz w:val="22"/>
          <w:szCs w:val="22"/>
          <w:lang w:val="uk-UA"/>
        </w:rPr>
        <w:t xml:space="preserve"> надання послуг: </w:t>
      </w:r>
      <w:r w:rsidR="006A43B7" w:rsidRPr="00B677D3">
        <w:rPr>
          <w:bCs/>
          <w:sz w:val="22"/>
          <w:szCs w:val="22"/>
          <w:lang w:val="uk-UA"/>
        </w:rPr>
        <w:t>01.01.2027р –</w:t>
      </w:r>
      <w:r w:rsidR="00DB53F2" w:rsidRPr="00B677D3">
        <w:rPr>
          <w:bCs/>
          <w:sz w:val="22"/>
          <w:szCs w:val="22"/>
          <w:lang w:val="uk-UA"/>
        </w:rPr>
        <w:t xml:space="preserve"> </w:t>
      </w:r>
      <w:r w:rsidR="006A43B7" w:rsidRPr="00B677D3">
        <w:rPr>
          <w:bCs/>
          <w:sz w:val="22"/>
          <w:szCs w:val="22"/>
          <w:lang w:val="uk-UA"/>
        </w:rPr>
        <w:t>31.03.</w:t>
      </w:r>
      <w:r w:rsidR="00DB53F2" w:rsidRPr="00B677D3">
        <w:rPr>
          <w:bCs/>
          <w:sz w:val="22"/>
          <w:szCs w:val="22"/>
          <w:lang w:val="uk-UA"/>
        </w:rPr>
        <w:t>2027 р.</w:t>
      </w:r>
    </w:p>
    <w:p w14:paraId="713E954A" w14:textId="5889A43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F06670" w:rsidRPr="00F06670">
        <w:rPr>
          <w:bCs/>
          <w:color w:val="000000" w:themeColor="text1"/>
          <w:sz w:val="22"/>
          <w:szCs w:val="22"/>
          <w:lang w:val="uk-UA"/>
        </w:rPr>
        <w:t>м. Київ</w:t>
      </w:r>
      <w:r w:rsidR="007F538E" w:rsidRPr="00F06670">
        <w:rPr>
          <w:bCs/>
          <w:i/>
          <w:iCs/>
          <w:color w:val="000000" w:themeColor="text1"/>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271B9"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6EA44E87" w14:textId="77777777" w:rsidR="00C7577B"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p w14:paraId="11E90A39" w14:textId="0A88B7A1" w:rsidR="00AA0FE5" w:rsidRPr="00F925CE" w:rsidRDefault="000B203E" w:rsidP="00E152FF">
            <w:pPr>
              <w:pStyle w:val="ab"/>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F925CE">
              <w:rPr>
                <w:rFonts w:ascii="Times New Roman" w:hAnsi="Times New Roman" w:cs="Times New Roman"/>
                <w:b/>
                <w:bCs/>
                <w:sz w:val="22"/>
                <w:szCs w:val="22"/>
                <w:lang w:val="uk-UA"/>
              </w:rPr>
              <w:t>Свідоцтво про включення фірми в Реєстр   аудиторських фірм та аудиторів.</w:t>
            </w:r>
          </w:p>
        </w:tc>
      </w:tr>
      <w:tr w:rsidR="001F55A5" w:rsidRPr="00DF16DD" w14:paraId="218232E4" w14:textId="77777777" w:rsidTr="00EC1C28">
        <w:trPr>
          <w:trHeight w:val="1331"/>
        </w:trPr>
        <w:tc>
          <w:tcPr>
            <w:tcW w:w="601" w:type="dxa"/>
          </w:tcPr>
          <w:p w14:paraId="2D7F440C" w14:textId="3A0AEE38" w:rsidR="001F55A5" w:rsidRPr="00BC13F3" w:rsidRDefault="001F55A5" w:rsidP="001F55A5">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32249285" w:rsidR="001F55A5" w:rsidRPr="000B48D8" w:rsidRDefault="001F55A5" w:rsidP="001F55A5">
            <w:pPr>
              <w:pStyle w:val="ab"/>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21" w:type="dxa"/>
          </w:tcPr>
          <w:p w14:paraId="0C869155" w14:textId="20C4735A" w:rsidR="001F55A5" w:rsidRPr="00C178DA" w:rsidRDefault="001F55A5" w:rsidP="001F55A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271B9"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73781E5" w:rsidR="00F27382" w:rsidRPr="005A5F8A" w:rsidRDefault="005F03DF"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C36EFF">
              <w:rPr>
                <w:rFonts w:ascii="Times New Roman" w:hAnsi="Times New Roman" w:cs="Times New Roman"/>
                <w:sz w:val="22"/>
                <w:szCs w:val="22"/>
                <w:lang w:val="uk-UA"/>
              </w:rPr>
              <w:t xml:space="preserve">Обов’язкові документи на підтвердження досвіду та кваліфікації </w:t>
            </w:r>
            <w:r>
              <w:rPr>
                <w:rFonts w:ascii="Times New Roman" w:hAnsi="Times New Roman" w:cs="Times New Roman"/>
                <w:sz w:val="22"/>
                <w:szCs w:val="22"/>
                <w:lang w:val="uk-UA"/>
              </w:rPr>
              <w:t>професійної команди Учасника</w:t>
            </w:r>
            <w:r w:rsidR="00F27382" w:rsidRPr="00B66F65">
              <w:rPr>
                <w:rFonts w:ascii="Times New Roman" w:eastAsia="Times New Roman" w:hAnsi="Times New Roman" w:cs="Times New Roman"/>
                <w:sz w:val="22"/>
                <w:szCs w:val="22"/>
                <w:lang w:val="uk-UA"/>
              </w:rPr>
              <w:t xml:space="preserve"> </w:t>
            </w:r>
          </w:p>
        </w:tc>
        <w:tc>
          <w:tcPr>
            <w:tcW w:w="4521" w:type="dxa"/>
          </w:tcPr>
          <w:p w14:paraId="6DD79CBC" w14:textId="6D735574" w:rsidR="00F27382" w:rsidRPr="009856D2" w:rsidRDefault="0077114C" w:rsidP="0077114C">
            <w:pPr>
              <w:pStyle w:val="ab"/>
              <w:numPr>
                <w:ilvl w:val="0"/>
                <w:numId w:val="2"/>
              </w:numPr>
              <w:jc w:val="both"/>
              <w:rPr>
                <w:rFonts w:ascii="Times New Roman" w:hAnsi="Times New Roman" w:cs="Times New Roman"/>
                <w:sz w:val="22"/>
                <w:szCs w:val="22"/>
                <w:lang w:val="uk-UA"/>
              </w:rPr>
            </w:pPr>
            <w:r w:rsidRPr="006B1494">
              <w:rPr>
                <w:rFonts w:ascii="Times New Roman" w:hAnsi="Times New Roman" w:cs="Times New Roman"/>
                <w:sz w:val="22"/>
                <w:szCs w:val="22"/>
                <w:lang w:val="uk-UA"/>
              </w:rPr>
              <w:t xml:space="preserve">Учасник повинен надати </w:t>
            </w:r>
            <w:r w:rsidR="009865AE" w:rsidRPr="006B1494">
              <w:rPr>
                <w:rFonts w:ascii="Times New Roman" w:hAnsi="Times New Roman" w:cs="Times New Roman"/>
                <w:sz w:val="22"/>
                <w:szCs w:val="22"/>
                <w:lang w:val="uk-UA"/>
              </w:rPr>
              <w:t>в пропозиції</w:t>
            </w:r>
            <w:r w:rsidRPr="006B1494">
              <w:rPr>
                <w:rFonts w:ascii="Times New Roman" w:hAnsi="Times New Roman" w:cs="Times New Roman"/>
                <w:sz w:val="22"/>
                <w:szCs w:val="22"/>
                <w:lang w:val="uk-UA"/>
              </w:rPr>
              <w:t xml:space="preserve"> резюме співробітників / експертів, які </w:t>
            </w:r>
            <w:r w:rsidRPr="006B1494">
              <w:rPr>
                <w:rFonts w:ascii="Times New Roman" w:hAnsi="Times New Roman" w:cs="Times New Roman"/>
                <w:sz w:val="22"/>
                <w:szCs w:val="22"/>
                <w:lang w:val="uk-UA"/>
              </w:rPr>
              <w:lastRenderedPageBreak/>
              <w:t>мають намір обробляти та/або брати участь у Завданні. Резюме мають містити відповідні відомості з метою оцінки пропозиції щодо відповідного конкретного досвіду для цього призначення та кваліфікаційної роботи, виконаної в минулому</w:t>
            </w:r>
            <w:r w:rsidR="00F42A56" w:rsidRPr="006B1494">
              <w:rPr>
                <w:rFonts w:ascii="Times New Roman" w:hAnsi="Times New Roman" w:cs="Times New Roman"/>
                <w:sz w:val="22"/>
                <w:szCs w:val="22"/>
                <w:lang w:val="uk-UA"/>
              </w:rPr>
              <w:t xml:space="preserve">. Необхідно </w:t>
            </w:r>
            <w:r w:rsidR="009865AE" w:rsidRPr="006B1494">
              <w:rPr>
                <w:rFonts w:ascii="Times New Roman" w:hAnsi="Times New Roman" w:cs="Times New Roman"/>
                <w:sz w:val="22"/>
                <w:szCs w:val="22"/>
                <w:lang w:val="uk-UA"/>
              </w:rPr>
              <w:t>також</w:t>
            </w:r>
            <w:r w:rsidR="009E1E26" w:rsidRPr="006B1494">
              <w:rPr>
                <w:rFonts w:ascii="Times New Roman" w:hAnsi="Times New Roman" w:cs="Times New Roman"/>
                <w:sz w:val="22"/>
                <w:szCs w:val="22"/>
                <w:lang w:val="uk-UA"/>
              </w:rPr>
              <w:t xml:space="preserve"> врахувати</w:t>
            </w:r>
            <w:r w:rsidR="009865AE" w:rsidRPr="006B1494">
              <w:rPr>
                <w:rFonts w:ascii="Times New Roman" w:hAnsi="Times New Roman" w:cs="Times New Roman"/>
                <w:sz w:val="22"/>
                <w:szCs w:val="22"/>
                <w:lang w:val="uk-UA"/>
              </w:rPr>
              <w:t xml:space="preserve"> вимоги до аудиторів</w:t>
            </w:r>
            <w:r w:rsidR="009E1E26" w:rsidRPr="006B1494">
              <w:rPr>
                <w:rFonts w:ascii="Times New Roman" w:hAnsi="Times New Roman" w:cs="Times New Roman"/>
                <w:sz w:val="22"/>
                <w:szCs w:val="22"/>
                <w:lang w:val="uk-UA"/>
              </w:rPr>
              <w:t xml:space="preserve">, що </w:t>
            </w:r>
            <w:r w:rsidR="009865AE" w:rsidRPr="006B1494">
              <w:rPr>
                <w:rFonts w:ascii="Times New Roman" w:hAnsi="Times New Roman" w:cs="Times New Roman"/>
                <w:sz w:val="22"/>
                <w:szCs w:val="22"/>
                <w:lang w:val="uk-UA"/>
              </w:rPr>
              <w:t xml:space="preserve">зазначені в </w:t>
            </w:r>
            <w:r w:rsidR="00035DB9" w:rsidRPr="006B1494">
              <w:rPr>
                <w:rFonts w:ascii="Times New Roman" w:hAnsi="Times New Roman" w:cs="Times New Roman"/>
                <w:sz w:val="22"/>
                <w:szCs w:val="22"/>
                <w:lang w:val="uk-UA"/>
              </w:rPr>
              <w:t>технічному завданні.</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176D6496" w:rsidR="00306A28" w:rsidRPr="006A43B7"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6A43B7">
        <w:rPr>
          <w:sz w:val="22"/>
          <w:szCs w:val="22"/>
          <w:lang w:val="uk-UA"/>
        </w:rPr>
        <w:t xml:space="preserve">Додатку </w:t>
      </w:r>
      <w:r w:rsidR="001B3496" w:rsidRPr="006A43B7">
        <w:rPr>
          <w:sz w:val="22"/>
          <w:szCs w:val="22"/>
          <w:lang w:val="uk-UA"/>
        </w:rPr>
        <w:t>2</w:t>
      </w:r>
      <w:r w:rsidRPr="006A43B7">
        <w:rPr>
          <w:sz w:val="22"/>
          <w:szCs w:val="22"/>
          <w:lang w:val="uk-UA"/>
        </w:rPr>
        <w:t xml:space="preserve">. </w:t>
      </w:r>
      <w:proofErr w:type="spellStart"/>
      <w:r w:rsidR="00306A28" w:rsidRPr="006A43B7">
        <w:rPr>
          <w:rFonts w:eastAsia="Arial Unicode MS"/>
          <w:b/>
          <w:bCs/>
          <w:i/>
          <w:iCs/>
          <w:sz w:val="22"/>
          <w:szCs w:val="22"/>
        </w:rPr>
        <w:t>Згідно</w:t>
      </w:r>
      <w:proofErr w:type="spellEnd"/>
      <w:r w:rsidR="00306A28" w:rsidRPr="006A43B7">
        <w:rPr>
          <w:rFonts w:eastAsia="Arial Unicode MS"/>
          <w:b/>
          <w:bCs/>
          <w:i/>
          <w:iCs/>
          <w:sz w:val="22"/>
          <w:szCs w:val="22"/>
        </w:rPr>
        <w:t xml:space="preserve"> </w:t>
      </w:r>
      <w:proofErr w:type="spellStart"/>
      <w:r w:rsidR="00306A28" w:rsidRPr="006A43B7">
        <w:rPr>
          <w:rFonts w:eastAsia="Arial Unicode MS"/>
          <w:b/>
          <w:bCs/>
          <w:i/>
          <w:iCs/>
          <w:sz w:val="22"/>
          <w:szCs w:val="22"/>
        </w:rPr>
        <w:t>політик</w:t>
      </w:r>
      <w:proofErr w:type="spellEnd"/>
      <w:r w:rsidR="00306A28" w:rsidRPr="006A43B7">
        <w:rPr>
          <w:rFonts w:eastAsia="Arial Unicode MS"/>
          <w:b/>
          <w:bCs/>
          <w:i/>
          <w:iCs/>
          <w:sz w:val="22"/>
          <w:szCs w:val="22"/>
        </w:rPr>
        <w:t xml:space="preserve"> ТЧХУ </w:t>
      </w:r>
      <w:proofErr w:type="spellStart"/>
      <w:r w:rsidR="00306A28" w:rsidRPr="006A43B7">
        <w:rPr>
          <w:rFonts w:eastAsia="Arial Unicode MS"/>
          <w:b/>
          <w:bCs/>
          <w:i/>
          <w:iCs/>
          <w:sz w:val="22"/>
          <w:szCs w:val="22"/>
        </w:rPr>
        <w:t>передплата</w:t>
      </w:r>
      <w:proofErr w:type="spellEnd"/>
      <w:r w:rsidR="00306A28" w:rsidRPr="006A43B7">
        <w:rPr>
          <w:rFonts w:eastAsia="Arial Unicode MS"/>
          <w:b/>
          <w:bCs/>
          <w:i/>
          <w:iCs/>
          <w:sz w:val="22"/>
          <w:szCs w:val="22"/>
        </w:rPr>
        <w:t xml:space="preserve"> </w:t>
      </w:r>
      <w:proofErr w:type="spellStart"/>
      <w:r w:rsidR="00306A28" w:rsidRPr="006A43B7">
        <w:rPr>
          <w:rFonts w:eastAsia="Arial Unicode MS"/>
          <w:b/>
          <w:bCs/>
          <w:i/>
          <w:iCs/>
          <w:sz w:val="22"/>
          <w:szCs w:val="22"/>
        </w:rPr>
        <w:t>може</w:t>
      </w:r>
      <w:proofErr w:type="spellEnd"/>
      <w:r w:rsidR="00306A28" w:rsidRPr="006A43B7">
        <w:rPr>
          <w:rFonts w:eastAsia="Arial Unicode MS"/>
          <w:b/>
          <w:bCs/>
          <w:i/>
          <w:iCs/>
          <w:sz w:val="22"/>
          <w:szCs w:val="22"/>
        </w:rPr>
        <w:t xml:space="preserve"> </w:t>
      </w:r>
      <w:proofErr w:type="spellStart"/>
      <w:r w:rsidR="00306A28" w:rsidRPr="006A43B7">
        <w:rPr>
          <w:rFonts w:eastAsia="Arial Unicode MS"/>
          <w:b/>
          <w:bCs/>
          <w:i/>
          <w:iCs/>
          <w:sz w:val="22"/>
          <w:szCs w:val="22"/>
        </w:rPr>
        <w:t>застосовуватись</w:t>
      </w:r>
      <w:proofErr w:type="spellEnd"/>
      <w:r w:rsidR="00306A28" w:rsidRPr="006A43B7">
        <w:rPr>
          <w:rFonts w:eastAsia="Arial Unicode MS"/>
          <w:b/>
          <w:bCs/>
          <w:i/>
          <w:iCs/>
          <w:sz w:val="22"/>
          <w:szCs w:val="22"/>
        </w:rPr>
        <w:t xml:space="preserve"> </w:t>
      </w:r>
      <w:proofErr w:type="spellStart"/>
      <w:r w:rsidR="00306A28" w:rsidRPr="006A43B7">
        <w:rPr>
          <w:rFonts w:eastAsia="Arial Unicode MS"/>
          <w:b/>
          <w:bCs/>
          <w:i/>
          <w:iCs/>
          <w:sz w:val="22"/>
          <w:szCs w:val="22"/>
        </w:rPr>
        <w:t>лише</w:t>
      </w:r>
      <w:proofErr w:type="spellEnd"/>
      <w:r w:rsidR="00306A28" w:rsidRPr="006A43B7">
        <w:rPr>
          <w:rFonts w:eastAsia="Arial Unicode MS"/>
          <w:b/>
          <w:bCs/>
          <w:i/>
          <w:iCs/>
          <w:sz w:val="22"/>
          <w:szCs w:val="22"/>
        </w:rPr>
        <w:t xml:space="preserve"> як </w:t>
      </w:r>
      <w:proofErr w:type="spellStart"/>
      <w:r w:rsidR="00306A28" w:rsidRPr="006A43B7">
        <w:rPr>
          <w:rFonts w:eastAsia="Arial Unicode MS"/>
          <w:b/>
          <w:bCs/>
          <w:i/>
          <w:iCs/>
          <w:sz w:val="22"/>
          <w:szCs w:val="22"/>
        </w:rPr>
        <w:t>виключення</w:t>
      </w:r>
      <w:proofErr w:type="spellEnd"/>
      <w:r w:rsidR="00306A28" w:rsidRPr="006A43B7">
        <w:rPr>
          <w:rFonts w:eastAsia="Arial Unicode MS"/>
          <w:b/>
          <w:bCs/>
          <w:i/>
          <w:iCs/>
          <w:sz w:val="22"/>
          <w:szCs w:val="22"/>
        </w:rPr>
        <w:t xml:space="preserve"> та </w:t>
      </w:r>
      <w:r w:rsidR="00306A28" w:rsidRPr="006A43B7">
        <w:rPr>
          <w:rFonts w:eastAsia="Arial Unicode MS"/>
          <w:b/>
          <w:bCs/>
          <w:i/>
          <w:iCs/>
          <w:sz w:val="22"/>
          <w:szCs w:val="22"/>
          <w:lang w:val="uk-UA"/>
        </w:rPr>
        <w:t xml:space="preserve">не може </w:t>
      </w:r>
      <w:proofErr w:type="gramStart"/>
      <w:r w:rsidR="00306A28" w:rsidRPr="006A43B7">
        <w:rPr>
          <w:rFonts w:eastAsia="Arial Unicode MS"/>
          <w:b/>
          <w:bCs/>
          <w:i/>
          <w:iCs/>
          <w:sz w:val="22"/>
          <w:szCs w:val="22"/>
          <w:lang w:val="uk-UA"/>
        </w:rPr>
        <w:t>перевищувати</w:t>
      </w:r>
      <w:r w:rsidR="00306A28" w:rsidRPr="006A43B7">
        <w:rPr>
          <w:rFonts w:eastAsia="Arial Unicode MS"/>
          <w:b/>
          <w:bCs/>
          <w:i/>
          <w:iCs/>
          <w:sz w:val="22"/>
          <w:szCs w:val="22"/>
        </w:rPr>
        <w:t xml:space="preserve">  50</w:t>
      </w:r>
      <w:proofErr w:type="gramEnd"/>
      <w:r w:rsidR="00306A28" w:rsidRPr="006A43B7">
        <w:rPr>
          <w:rFonts w:eastAsia="Arial Unicode MS"/>
          <w:b/>
          <w:bCs/>
          <w:i/>
          <w:iCs/>
          <w:sz w:val="22"/>
          <w:szCs w:val="22"/>
        </w:rPr>
        <w:t>%</w:t>
      </w:r>
      <w:r w:rsidR="00306A28" w:rsidRPr="006A43B7">
        <w:rPr>
          <w:rFonts w:eastAsia="Arial Unicode MS"/>
          <w:b/>
          <w:bCs/>
          <w:i/>
          <w:iCs/>
          <w:sz w:val="22"/>
          <w:szCs w:val="22"/>
          <w:lang w:val="uk-UA"/>
        </w:rPr>
        <w:t xml:space="preserve"> вартості.</w:t>
      </w:r>
    </w:p>
    <w:p w14:paraId="68B8F526" w14:textId="4826C6BB" w:rsidR="00E152FF" w:rsidRPr="00306A28" w:rsidRDefault="0062592A" w:rsidP="008A7DFE">
      <w:pPr>
        <w:pStyle w:val="af0"/>
        <w:numPr>
          <w:ilvl w:val="0"/>
          <w:numId w:val="5"/>
        </w:numPr>
        <w:ind w:left="0" w:firstLine="357"/>
        <w:contextualSpacing/>
        <w:jc w:val="both"/>
        <w:textAlignment w:val="baseline"/>
        <w:rPr>
          <w:color w:val="000000"/>
          <w:sz w:val="22"/>
          <w:szCs w:val="22"/>
          <w:lang w:val="uk-UA" w:eastAsia="uk-UA"/>
        </w:rPr>
      </w:pPr>
      <w:r w:rsidRPr="006A43B7">
        <w:rPr>
          <w:color w:val="000000"/>
          <w:sz w:val="22"/>
          <w:szCs w:val="22"/>
          <w:lang w:val="uk-UA" w:eastAsia="uk-UA"/>
        </w:rPr>
        <w:t xml:space="preserve">У разі відмінності пропозиції Учасника  від технічного завдання (Додаток </w:t>
      </w:r>
      <w:r w:rsidR="001B3496" w:rsidRPr="006A43B7">
        <w:rPr>
          <w:color w:val="000000"/>
          <w:sz w:val="22"/>
          <w:szCs w:val="22"/>
          <w:lang w:val="uk-UA" w:eastAsia="uk-UA"/>
        </w:rPr>
        <w:t>1</w:t>
      </w:r>
      <w:r w:rsidRPr="006A43B7">
        <w:rPr>
          <w:color w:val="000000"/>
          <w:sz w:val="22"/>
          <w:szCs w:val="22"/>
          <w:lang w:val="uk-UA" w:eastAsia="uk-UA"/>
        </w:rPr>
        <w:t>), рішення</w:t>
      </w:r>
      <w:r w:rsidRPr="00306A28">
        <w:rPr>
          <w:color w:val="000000"/>
          <w:sz w:val="22"/>
          <w:szCs w:val="22"/>
          <w:lang w:val="uk-UA" w:eastAsia="uk-UA"/>
        </w:rPr>
        <w:t xml:space="preserve">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7605EE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D640F3">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19DDC5D" w14:textId="0500AE7C" w:rsidR="00D640F3" w:rsidRDefault="00D640F3"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B4FF97D" w:rsidR="00F03751" w:rsidRPr="009257DD" w:rsidRDefault="4090B5BD" w:rsidP="4090B5BD">
      <w:pPr>
        <w:ind w:firstLine="357"/>
        <w:jc w:val="both"/>
        <w:textAlignment w:val="baseline"/>
        <w:rPr>
          <w:sz w:val="22"/>
          <w:szCs w:val="22"/>
          <w:lang w:eastAsia="uk-UA"/>
        </w:rPr>
      </w:pPr>
      <w:proofErr w:type="spellStart"/>
      <w:r w:rsidRPr="009257DD">
        <w:rPr>
          <w:color w:val="000000" w:themeColor="text1"/>
          <w:sz w:val="22"/>
          <w:szCs w:val="22"/>
          <w:lang w:eastAsia="uk-UA"/>
        </w:rPr>
        <w:t>Запитання</w:t>
      </w:r>
      <w:proofErr w:type="spellEnd"/>
      <w:r w:rsidRPr="009257DD">
        <w:rPr>
          <w:color w:val="000000" w:themeColor="text1"/>
          <w:sz w:val="22"/>
          <w:szCs w:val="22"/>
          <w:lang w:eastAsia="uk-UA"/>
        </w:rPr>
        <w:t xml:space="preserve"> </w:t>
      </w:r>
      <w:proofErr w:type="spellStart"/>
      <w:r w:rsidRPr="009257DD">
        <w:rPr>
          <w:color w:val="000000" w:themeColor="text1"/>
          <w:sz w:val="22"/>
          <w:szCs w:val="22"/>
          <w:lang w:eastAsia="uk-UA"/>
        </w:rPr>
        <w:t>щодо</w:t>
      </w:r>
      <w:proofErr w:type="spellEnd"/>
      <w:r w:rsidRPr="009257DD">
        <w:rPr>
          <w:color w:val="000000" w:themeColor="text1"/>
          <w:sz w:val="22"/>
          <w:szCs w:val="22"/>
          <w:lang w:eastAsia="uk-UA"/>
        </w:rPr>
        <w:t xml:space="preserve"> </w:t>
      </w:r>
      <w:proofErr w:type="spellStart"/>
      <w:r w:rsidRPr="009257DD">
        <w:rPr>
          <w:color w:val="000000" w:themeColor="text1"/>
          <w:sz w:val="22"/>
          <w:szCs w:val="22"/>
          <w:lang w:eastAsia="uk-UA"/>
        </w:rPr>
        <w:t>цінової</w:t>
      </w:r>
      <w:proofErr w:type="spellEnd"/>
      <w:r w:rsidRPr="009257DD">
        <w:rPr>
          <w:color w:val="000000" w:themeColor="text1"/>
          <w:sz w:val="22"/>
          <w:szCs w:val="22"/>
          <w:lang w:eastAsia="uk-UA"/>
        </w:rPr>
        <w:t xml:space="preserve"> </w:t>
      </w:r>
      <w:proofErr w:type="spellStart"/>
      <w:r w:rsidRPr="009257DD">
        <w:rPr>
          <w:color w:val="000000" w:themeColor="text1"/>
          <w:sz w:val="22"/>
          <w:szCs w:val="22"/>
          <w:lang w:eastAsia="uk-UA"/>
        </w:rPr>
        <w:t>пропозиції</w:t>
      </w:r>
      <w:proofErr w:type="spellEnd"/>
      <w:r w:rsidRPr="009257DD">
        <w:rPr>
          <w:color w:val="000000" w:themeColor="text1"/>
          <w:sz w:val="22"/>
          <w:szCs w:val="22"/>
          <w:lang w:eastAsia="uk-UA"/>
        </w:rPr>
        <w:t xml:space="preserve"> </w:t>
      </w:r>
      <w:proofErr w:type="spellStart"/>
      <w:r w:rsidRPr="009257DD">
        <w:rPr>
          <w:color w:val="000000" w:themeColor="text1"/>
          <w:sz w:val="22"/>
          <w:szCs w:val="22"/>
          <w:lang w:eastAsia="uk-UA"/>
        </w:rPr>
        <w:t>надсилайте</w:t>
      </w:r>
      <w:proofErr w:type="spellEnd"/>
      <w:r w:rsidRPr="009257DD">
        <w:rPr>
          <w:color w:val="000000" w:themeColor="text1"/>
          <w:sz w:val="22"/>
          <w:szCs w:val="22"/>
          <w:lang w:eastAsia="uk-UA"/>
        </w:rPr>
        <w:t xml:space="preserve"> на </w:t>
      </w:r>
      <w:proofErr w:type="spellStart"/>
      <w:r w:rsidRPr="009257DD">
        <w:rPr>
          <w:color w:val="000000" w:themeColor="text1"/>
          <w:sz w:val="22"/>
          <w:szCs w:val="22"/>
          <w:lang w:eastAsia="uk-UA"/>
        </w:rPr>
        <w:t>електронну</w:t>
      </w:r>
      <w:proofErr w:type="spellEnd"/>
      <w:r w:rsidRPr="009257DD">
        <w:rPr>
          <w:color w:val="000000" w:themeColor="text1"/>
          <w:sz w:val="22"/>
          <w:szCs w:val="22"/>
          <w:lang w:eastAsia="uk-UA"/>
        </w:rPr>
        <w:t xml:space="preserve"> </w:t>
      </w:r>
      <w:proofErr w:type="spellStart"/>
      <w:r w:rsidRPr="009257DD">
        <w:rPr>
          <w:color w:val="000000" w:themeColor="text1"/>
          <w:sz w:val="22"/>
          <w:szCs w:val="22"/>
          <w:lang w:eastAsia="uk-UA"/>
        </w:rPr>
        <w:t>пошту</w:t>
      </w:r>
      <w:proofErr w:type="spellEnd"/>
      <w:r w:rsidRPr="009257DD">
        <w:rPr>
          <w:color w:val="000000" w:themeColor="text1"/>
          <w:sz w:val="22"/>
          <w:szCs w:val="22"/>
          <w:lang w:eastAsia="uk-UA"/>
        </w:rPr>
        <w:t xml:space="preserve">: </w:t>
      </w:r>
      <w:hyperlink r:id="rId8">
        <w:r w:rsidRPr="009257DD">
          <w:rPr>
            <w:rStyle w:val="ac"/>
            <w:sz w:val="22"/>
            <w:szCs w:val="22"/>
            <w:lang w:eastAsia="uk-UA"/>
          </w:rPr>
          <w:t>tender@redcross.org.ua</w:t>
        </w:r>
      </w:hyperlink>
      <w:r w:rsidRPr="009257DD">
        <w:rPr>
          <w:color w:val="000000" w:themeColor="text1"/>
          <w:sz w:val="22"/>
          <w:szCs w:val="22"/>
          <w:lang w:eastAsia="uk-UA"/>
        </w:rPr>
        <w:t xml:space="preserve"> </w:t>
      </w:r>
      <w:proofErr w:type="gramStart"/>
      <w:r w:rsidRPr="009257DD">
        <w:rPr>
          <w:color w:val="000000" w:themeColor="text1"/>
          <w:sz w:val="22"/>
          <w:szCs w:val="22"/>
          <w:lang w:eastAsia="uk-UA"/>
        </w:rPr>
        <w:t xml:space="preserve">до  </w:t>
      </w:r>
      <w:r w:rsidR="00AF77F8" w:rsidRPr="009257DD">
        <w:rPr>
          <w:color w:val="000000" w:themeColor="text1"/>
          <w:sz w:val="22"/>
          <w:szCs w:val="22"/>
          <w:lang w:val="uk-UA" w:eastAsia="uk-UA"/>
        </w:rPr>
        <w:t>1</w:t>
      </w:r>
      <w:r w:rsidR="003F7ECB" w:rsidRPr="009257DD">
        <w:rPr>
          <w:color w:val="000000" w:themeColor="text1"/>
          <w:sz w:val="22"/>
          <w:szCs w:val="22"/>
          <w:lang w:val="uk-UA" w:eastAsia="uk-UA"/>
        </w:rPr>
        <w:t>5</w:t>
      </w:r>
      <w:r w:rsidRPr="009257DD">
        <w:rPr>
          <w:color w:val="000000" w:themeColor="text1"/>
          <w:sz w:val="22"/>
          <w:szCs w:val="22"/>
          <w:lang w:eastAsia="uk-UA"/>
        </w:rPr>
        <w:t>.</w:t>
      </w:r>
      <w:r w:rsidR="00AF77F8" w:rsidRPr="009257DD">
        <w:rPr>
          <w:color w:val="000000" w:themeColor="text1"/>
          <w:sz w:val="22"/>
          <w:szCs w:val="22"/>
          <w:lang w:val="uk-UA" w:eastAsia="uk-UA"/>
        </w:rPr>
        <w:t>05</w:t>
      </w:r>
      <w:r w:rsidRPr="009257DD">
        <w:rPr>
          <w:color w:val="000000" w:themeColor="text1"/>
          <w:sz w:val="22"/>
          <w:szCs w:val="22"/>
          <w:lang w:eastAsia="uk-UA"/>
        </w:rPr>
        <w:t>.202</w:t>
      </w:r>
      <w:r w:rsidR="00AF77F8" w:rsidRPr="009257DD">
        <w:rPr>
          <w:color w:val="000000" w:themeColor="text1"/>
          <w:sz w:val="22"/>
          <w:szCs w:val="22"/>
          <w:lang w:val="uk-UA" w:eastAsia="uk-UA"/>
        </w:rPr>
        <w:t>6</w:t>
      </w:r>
      <w:r w:rsidRPr="009257DD">
        <w:rPr>
          <w:color w:val="000000" w:themeColor="text1"/>
          <w:sz w:val="22"/>
          <w:szCs w:val="22"/>
          <w:lang w:eastAsia="uk-UA"/>
        </w:rPr>
        <w:t>р</w:t>
      </w:r>
      <w:r w:rsidRPr="009257DD">
        <w:rPr>
          <w:b/>
          <w:bCs/>
          <w:color w:val="000000" w:themeColor="text1"/>
          <w:sz w:val="22"/>
          <w:szCs w:val="22"/>
          <w:lang w:eastAsia="uk-UA"/>
        </w:rPr>
        <w:t>.</w:t>
      </w:r>
      <w:proofErr w:type="gramEnd"/>
      <w:r w:rsidRPr="009257DD">
        <w:rPr>
          <w:color w:val="000000" w:themeColor="text1"/>
          <w:sz w:val="22"/>
          <w:szCs w:val="22"/>
          <w:lang w:eastAsia="uk-UA"/>
        </w:rPr>
        <w:t> </w:t>
      </w:r>
    </w:p>
    <w:p w14:paraId="54649286" w14:textId="77777777" w:rsidR="00D26CFC" w:rsidRPr="009257DD" w:rsidRDefault="00D26CFC" w:rsidP="00CC0B16">
      <w:pPr>
        <w:ind w:firstLine="357"/>
        <w:jc w:val="both"/>
        <w:textAlignment w:val="baseline"/>
        <w:rPr>
          <w:b/>
          <w:bCs/>
          <w:color w:val="000000"/>
          <w:sz w:val="22"/>
          <w:szCs w:val="22"/>
          <w:lang w:val="uk-UA" w:eastAsia="uk-UA"/>
        </w:rPr>
      </w:pPr>
    </w:p>
    <w:p w14:paraId="3155EE8E" w14:textId="1B3E6004" w:rsidR="00F03751" w:rsidRPr="00C84108" w:rsidRDefault="4090B5BD" w:rsidP="4090B5BD">
      <w:pPr>
        <w:ind w:firstLine="357"/>
        <w:jc w:val="both"/>
        <w:textAlignment w:val="baseline"/>
        <w:rPr>
          <w:sz w:val="22"/>
          <w:szCs w:val="22"/>
          <w:lang w:eastAsia="uk-UA"/>
        </w:rPr>
      </w:pPr>
      <w:proofErr w:type="spellStart"/>
      <w:r w:rsidRPr="009257DD">
        <w:rPr>
          <w:b/>
          <w:bCs/>
          <w:color w:val="000000" w:themeColor="text1"/>
          <w:sz w:val="22"/>
          <w:szCs w:val="22"/>
          <w:lang w:eastAsia="uk-UA"/>
        </w:rPr>
        <w:t>Цінові</w:t>
      </w:r>
      <w:proofErr w:type="spellEnd"/>
      <w:r w:rsidRPr="009257DD">
        <w:rPr>
          <w:b/>
          <w:bCs/>
          <w:color w:val="000000" w:themeColor="text1"/>
          <w:sz w:val="22"/>
          <w:szCs w:val="22"/>
          <w:lang w:eastAsia="uk-UA"/>
        </w:rPr>
        <w:t xml:space="preserve"> </w:t>
      </w:r>
      <w:proofErr w:type="spellStart"/>
      <w:r w:rsidRPr="009257DD">
        <w:rPr>
          <w:b/>
          <w:bCs/>
          <w:color w:val="000000" w:themeColor="text1"/>
          <w:sz w:val="22"/>
          <w:szCs w:val="22"/>
          <w:lang w:eastAsia="uk-UA"/>
        </w:rPr>
        <w:t>пропозиції</w:t>
      </w:r>
      <w:proofErr w:type="spellEnd"/>
      <w:r w:rsidRPr="009257DD">
        <w:rPr>
          <w:b/>
          <w:bCs/>
          <w:color w:val="000000" w:themeColor="text1"/>
          <w:sz w:val="22"/>
          <w:szCs w:val="22"/>
          <w:lang w:eastAsia="uk-UA"/>
        </w:rPr>
        <w:t xml:space="preserve"> </w:t>
      </w:r>
      <w:proofErr w:type="spellStart"/>
      <w:r w:rsidRPr="009257DD">
        <w:rPr>
          <w:b/>
          <w:bCs/>
          <w:color w:val="000000" w:themeColor="text1"/>
          <w:sz w:val="22"/>
          <w:szCs w:val="22"/>
          <w:lang w:eastAsia="uk-UA"/>
        </w:rPr>
        <w:t>приймаються</w:t>
      </w:r>
      <w:proofErr w:type="spellEnd"/>
      <w:r w:rsidRPr="009257DD">
        <w:rPr>
          <w:b/>
          <w:bCs/>
          <w:color w:val="000000" w:themeColor="text1"/>
          <w:sz w:val="22"/>
          <w:szCs w:val="22"/>
          <w:lang w:eastAsia="uk-UA"/>
        </w:rPr>
        <w:t xml:space="preserve"> на </w:t>
      </w:r>
      <w:proofErr w:type="spellStart"/>
      <w:r w:rsidRPr="009257DD">
        <w:rPr>
          <w:b/>
          <w:bCs/>
          <w:color w:val="000000" w:themeColor="text1"/>
          <w:sz w:val="22"/>
          <w:szCs w:val="22"/>
          <w:lang w:eastAsia="uk-UA"/>
        </w:rPr>
        <w:t>електронну</w:t>
      </w:r>
      <w:proofErr w:type="spellEnd"/>
      <w:r w:rsidRPr="009257DD">
        <w:rPr>
          <w:b/>
          <w:bCs/>
          <w:color w:val="000000" w:themeColor="text1"/>
          <w:sz w:val="22"/>
          <w:szCs w:val="22"/>
          <w:lang w:eastAsia="uk-UA"/>
        </w:rPr>
        <w:t xml:space="preserve"> </w:t>
      </w:r>
      <w:proofErr w:type="spellStart"/>
      <w:r w:rsidRPr="009257DD">
        <w:rPr>
          <w:b/>
          <w:bCs/>
          <w:color w:val="000000" w:themeColor="text1"/>
          <w:sz w:val="22"/>
          <w:szCs w:val="22"/>
          <w:lang w:eastAsia="uk-UA"/>
        </w:rPr>
        <w:t>пошту</w:t>
      </w:r>
      <w:proofErr w:type="spellEnd"/>
      <w:r w:rsidRPr="009257DD">
        <w:rPr>
          <w:b/>
          <w:bCs/>
          <w:color w:val="000000" w:themeColor="text1"/>
          <w:sz w:val="22"/>
          <w:szCs w:val="22"/>
          <w:lang w:eastAsia="uk-UA"/>
        </w:rPr>
        <w:t>:</w:t>
      </w:r>
      <w:r w:rsidRPr="009257DD">
        <w:rPr>
          <w:color w:val="000000" w:themeColor="text1"/>
          <w:sz w:val="22"/>
          <w:szCs w:val="22"/>
          <w:lang w:eastAsia="uk-UA"/>
        </w:rPr>
        <w:t xml:space="preserve"> </w:t>
      </w:r>
      <w:hyperlink r:id="rId9">
        <w:r w:rsidRPr="009257DD">
          <w:rPr>
            <w:rStyle w:val="ac"/>
            <w:sz w:val="22"/>
            <w:szCs w:val="22"/>
            <w:lang w:eastAsia="uk-UA"/>
          </w:rPr>
          <w:t>tender@redcross.org.ua</w:t>
        </w:r>
      </w:hyperlink>
      <w:r w:rsidRPr="009257DD">
        <w:rPr>
          <w:color w:val="000000" w:themeColor="text1"/>
          <w:sz w:val="22"/>
          <w:szCs w:val="22"/>
          <w:lang w:eastAsia="uk-UA"/>
        </w:rPr>
        <w:t xml:space="preserve">  </w:t>
      </w:r>
      <w:r w:rsidRPr="009257DD">
        <w:rPr>
          <w:b/>
          <w:bCs/>
          <w:color w:val="000000" w:themeColor="text1"/>
          <w:sz w:val="22"/>
          <w:szCs w:val="22"/>
          <w:lang w:eastAsia="uk-UA"/>
        </w:rPr>
        <w:t xml:space="preserve">до </w:t>
      </w:r>
      <w:r w:rsidR="00AF77F8" w:rsidRPr="009257DD">
        <w:rPr>
          <w:b/>
          <w:bCs/>
          <w:color w:val="000000" w:themeColor="text1"/>
          <w:sz w:val="22"/>
          <w:szCs w:val="22"/>
          <w:lang w:val="uk-UA" w:eastAsia="uk-UA"/>
        </w:rPr>
        <w:t>1</w:t>
      </w:r>
      <w:r w:rsidR="003F7ECB" w:rsidRPr="009257DD">
        <w:rPr>
          <w:b/>
          <w:bCs/>
          <w:color w:val="000000" w:themeColor="text1"/>
          <w:sz w:val="22"/>
          <w:szCs w:val="22"/>
          <w:lang w:val="uk-UA" w:eastAsia="uk-UA"/>
        </w:rPr>
        <w:t>8</w:t>
      </w:r>
      <w:r w:rsidRPr="009257DD">
        <w:rPr>
          <w:b/>
          <w:bCs/>
          <w:color w:val="000000" w:themeColor="text1"/>
          <w:sz w:val="22"/>
          <w:szCs w:val="22"/>
          <w:lang w:eastAsia="uk-UA"/>
        </w:rPr>
        <w:t>.</w:t>
      </w:r>
      <w:r w:rsidR="00AF77F8" w:rsidRPr="009257DD">
        <w:rPr>
          <w:b/>
          <w:bCs/>
          <w:color w:val="000000" w:themeColor="text1"/>
          <w:sz w:val="22"/>
          <w:szCs w:val="22"/>
          <w:lang w:val="uk-UA" w:eastAsia="uk-UA"/>
        </w:rPr>
        <w:t>05</w:t>
      </w:r>
      <w:r w:rsidRPr="009257DD">
        <w:rPr>
          <w:b/>
          <w:bCs/>
          <w:color w:val="000000" w:themeColor="text1"/>
          <w:sz w:val="22"/>
          <w:szCs w:val="22"/>
          <w:lang w:eastAsia="uk-UA"/>
        </w:rPr>
        <w:t>.202</w:t>
      </w:r>
      <w:r w:rsidR="00AF77F8" w:rsidRPr="009257DD">
        <w:rPr>
          <w:b/>
          <w:bCs/>
          <w:color w:val="000000" w:themeColor="text1"/>
          <w:sz w:val="22"/>
          <w:szCs w:val="22"/>
          <w:lang w:val="uk-UA" w:eastAsia="uk-UA"/>
        </w:rPr>
        <w:t>6</w:t>
      </w:r>
      <w:r w:rsidRPr="009257DD">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786D21"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32D2E">
        <w:rPr>
          <w:sz w:val="22"/>
          <w:szCs w:val="22"/>
          <w:lang w:val="uk-UA"/>
        </w:rPr>
        <w:t>«</w:t>
      </w:r>
      <w:r w:rsidR="008E179E" w:rsidRPr="00932D2E">
        <w:rPr>
          <w:bCs/>
          <w:sz w:val="22"/>
          <w:szCs w:val="22"/>
          <w:lang w:val="uk-UA"/>
        </w:rPr>
        <w:t>№</w:t>
      </w:r>
      <w:r w:rsidR="00D640F3" w:rsidRPr="00932D2E">
        <w:rPr>
          <w:bCs/>
          <w:sz w:val="22"/>
          <w:szCs w:val="22"/>
          <w:lang w:val="en-US"/>
        </w:rPr>
        <w:t>LC</w:t>
      </w:r>
      <w:r w:rsidR="00D640F3" w:rsidRPr="00932D2E">
        <w:rPr>
          <w:bCs/>
          <w:sz w:val="22"/>
          <w:szCs w:val="22"/>
          <w:lang w:val="uk-UA"/>
        </w:rPr>
        <w:t>3000</w:t>
      </w:r>
      <w:r w:rsidR="008E179E" w:rsidRPr="00932D2E">
        <w:rPr>
          <w:bCs/>
          <w:sz w:val="22"/>
          <w:szCs w:val="22"/>
          <w:lang w:val="uk-UA"/>
        </w:rPr>
        <w:t>_</w:t>
      </w:r>
      <w:r w:rsidRPr="00932D2E">
        <w:rPr>
          <w:sz w:val="22"/>
          <w:szCs w:val="22"/>
          <w:lang w:val="uk-UA"/>
        </w:rPr>
        <w:t>Конкурс</w:t>
      </w:r>
      <w:r w:rsidR="000E5FB0" w:rsidRPr="00932D2E">
        <w:rPr>
          <w:sz w:val="22"/>
          <w:szCs w:val="22"/>
          <w:lang w:val="uk-UA"/>
        </w:rPr>
        <w:t xml:space="preserve"> </w:t>
      </w:r>
      <w:r w:rsidRPr="00932D2E">
        <w:rPr>
          <w:sz w:val="22"/>
          <w:szCs w:val="22"/>
          <w:lang w:val="uk-UA"/>
        </w:rPr>
        <w:t>на  місцеву закупівлю</w:t>
      </w:r>
      <w:r w:rsidRPr="00932D2E">
        <w:rPr>
          <w:bCs/>
          <w:lang w:val="uk-UA"/>
        </w:rPr>
        <w:t xml:space="preserve"> </w:t>
      </w:r>
      <w:r w:rsidR="00932D2E" w:rsidRPr="00932D2E">
        <w:rPr>
          <w:b/>
          <w:bCs/>
          <w:sz w:val="22"/>
          <w:szCs w:val="22"/>
          <w:lang w:val="uk-UA"/>
        </w:rPr>
        <w:t>Послуги з аудиту проєкту АЧХ</w:t>
      </w:r>
      <w:r w:rsidRPr="00932D2E">
        <w:rPr>
          <w:sz w:val="22"/>
          <w:szCs w:val="22"/>
          <w:lang w:val="uk-UA"/>
        </w:rPr>
        <w:t>.</w:t>
      </w:r>
      <w:r w:rsidR="00932D2E" w:rsidRPr="00932D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3C158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BEEA130" w:rsidR="00142094" w:rsidRDefault="002A13C5" w:rsidP="00F43D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F43DB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5689304" w:rsidR="00992F46" w:rsidRDefault="00F43DB8"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9B40C7">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261B59E" w14:textId="77777777" w:rsidR="00406D11" w:rsidRDefault="00406D11" w:rsidP="00992F46">
      <w:pPr>
        <w:jc w:val="right"/>
        <w:rPr>
          <w:b/>
          <w:spacing w:val="-4"/>
          <w:sz w:val="22"/>
          <w:szCs w:val="22"/>
          <w:lang w:val="uk-UA"/>
        </w:rPr>
      </w:pPr>
    </w:p>
    <w:p w14:paraId="4642E378" w14:textId="77777777" w:rsidR="00406D11" w:rsidRDefault="00406D11" w:rsidP="00992F46">
      <w:pPr>
        <w:jc w:val="right"/>
        <w:rPr>
          <w:b/>
          <w:spacing w:val="-4"/>
          <w:sz w:val="22"/>
          <w:szCs w:val="22"/>
          <w:lang w:val="uk-UA"/>
        </w:rPr>
      </w:pPr>
    </w:p>
    <w:p w14:paraId="1E0226A3" w14:textId="77777777" w:rsidR="00815CAA" w:rsidRPr="00B255D0" w:rsidRDefault="00815CAA" w:rsidP="00815CAA">
      <w:pPr>
        <w:pStyle w:val="paragraph"/>
        <w:spacing w:before="0" w:beforeAutospacing="0" w:after="0" w:afterAutospacing="0"/>
        <w:jc w:val="center"/>
        <w:textAlignment w:val="baseline"/>
        <w:rPr>
          <w:b/>
          <w:sz w:val="28"/>
          <w:szCs w:val="28"/>
          <w:lang w:val="uk-UA"/>
        </w:rPr>
      </w:pPr>
      <w:r w:rsidRPr="00B255D0">
        <w:rPr>
          <w:b/>
          <w:sz w:val="28"/>
          <w:szCs w:val="28"/>
        </w:rPr>
        <w:t>ТЕХНІЧНЕ ЗАВДАННЯ</w:t>
      </w:r>
    </w:p>
    <w:p w14:paraId="5390FE5A" w14:textId="77777777" w:rsidR="00815CAA" w:rsidRDefault="00815CAA" w:rsidP="00815CAA">
      <w:pPr>
        <w:pStyle w:val="paragraph"/>
        <w:spacing w:before="0" w:beforeAutospacing="0" w:after="0" w:afterAutospacing="0"/>
        <w:jc w:val="both"/>
        <w:textAlignment w:val="baseline"/>
        <w:rPr>
          <w:rFonts w:asciiTheme="minorHAnsi" w:hAnsiTheme="minorHAnsi"/>
          <w:b/>
          <w:lang w:val="uk-UA"/>
        </w:rPr>
      </w:pPr>
    </w:p>
    <w:p w14:paraId="7C7A92F1" w14:textId="77777777" w:rsidR="00815CAA" w:rsidRPr="006B7225" w:rsidRDefault="00815CAA" w:rsidP="00815CAA">
      <w:pPr>
        <w:rPr>
          <w:color w:val="C00000"/>
          <w:kern w:val="2"/>
          <w:sz w:val="36"/>
          <w:szCs w:val="36"/>
          <w:lang w:val="uk-UA" w:eastAsia="en-US"/>
          <w14:ligatures w14:val="standardContextual"/>
        </w:rPr>
      </w:pPr>
      <w:r w:rsidRPr="006B7225">
        <w:rPr>
          <w:color w:val="C00000"/>
          <w:kern w:val="2"/>
          <w:sz w:val="36"/>
          <w:szCs w:val="36"/>
          <w:lang w:val="uk-UA" w:eastAsia="en-US"/>
          <w14:ligatures w14:val="standardContextual"/>
        </w:rPr>
        <w:t>Вступ</w:t>
      </w:r>
    </w:p>
    <w:p w14:paraId="05641600" w14:textId="77777777" w:rsidR="00815CAA" w:rsidRPr="000418F8" w:rsidRDefault="00815CAA" w:rsidP="00815CAA">
      <w:pPr>
        <w:tabs>
          <w:tab w:val="left" w:pos="1304"/>
          <w:tab w:val="left" w:pos="2608"/>
          <w:tab w:val="left" w:pos="3912"/>
          <w:tab w:val="left" w:pos="5216"/>
          <w:tab w:val="left" w:pos="6521"/>
          <w:tab w:val="left" w:pos="7825"/>
        </w:tabs>
        <w:autoSpaceDE w:val="0"/>
        <w:autoSpaceDN w:val="0"/>
        <w:ind w:left="360"/>
        <w:jc w:val="both"/>
        <w:rPr>
          <w:rFonts w:ascii="Dunant" w:hAnsi="Dunant"/>
          <w:sz w:val="22"/>
          <w:szCs w:val="22"/>
          <w:lang w:val="uk-UA" w:eastAsia="it-IT"/>
        </w:rPr>
      </w:pPr>
    </w:p>
    <w:p w14:paraId="6BACA795"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360"/>
        <w:jc w:val="both"/>
        <w:rPr>
          <w:spacing w:val="-4"/>
          <w:sz w:val="22"/>
          <w:szCs w:val="22"/>
          <w:lang w:val="uk-UA"/>
        </w:rPr>
      </w:pPr>
      <w:proofErr w:type="spellStart"/>
      <w:r w:rsidRPr="006B7225">
        <w:rPr>
          <w:spacing w:val="-4"/>
          <w:sz w:val="22"/>
          <w:szCs w:val="22"/>
          <w:lang w:val="uk-UA"/>
        </w:rPr>
        <w:t>АвстрЧХ</w:t>
      </w:r>
      <w:proofErr w:type="spellEnd"/>
      <w:r w:rsidRPr="006B7225">
        <w:rPr>
          <w:spacing w:val="-4"/>
          <w:sz w:val="22"/>
          <w:szCs w:val="22"/>
          <w:lang w:val="uk-UA"/>
        </w:rPr>
        <w:t xml:space="preserve"> звертається з проханням до ТЧХУ залучити незалежного зовнішнього аудитора з належною професійною компетентністю та досвідом для проведення аудиту щодо проєкту </w:t>
      </w:r>
      <w:proofErr w:type="spellStart"/>
      <w:r w:rsidRPr="006B7225">
        <w:rPr>
          <w:spacing w:val="-4"/>
          <w:sz w:val="22"/>
          <w:szCs w:val="22"/>
          <w:lang w:val="uk-UA"/>
        </w:rPr>
        <w:t>Fin</w:t>
      </w:r>
      <w:proofErr w:type="spellEnd"/>
      <w:r w:rsidRPr="006B7225">
        <w:rPr>
          <w:spacing w:val="-4"/>
          <w:sz w:val="22"/>
          <w:szCs w:val="22"/>
          <w:lang w:val="uk-UA"/>
        </w:rPr>
        <w:t xml:space="preserve">-HEALTH+ Україна: Залучення до охорони здоров'я та надання допомоги, включаючи довгострокову трансформацію та гуманітарну підтримку, який реалізується в межах проєкту </w:t>
      </w:r>
      <w:proofErr w:type="spellStart"/>
      <w:r w:rsidRPr="006B7225">
        <w:rPr>
          <w:spacing w:val="-4"/>
          <w:sz w:val="22"/>
          <w:szCs w:val="22"/>
          <w:lang w:val="uk-UA"/>
        </w:rPr>
        <w:t>АвстрЧХ</w:t>
      </w:r>
      <w:proofErr w:type="spellEnd"/>
      <w:r w:rsidRPr="006B7225">
        <w:rPr>
          <w:spacing w:val="-4"/>
          <w:sz w:val="22"/>
          <w:szCs w:val="22"/>
          <w:lang w:val="uk-UA"/>
        </w:rPr>
        <w:t xml:space="preserve"> № 146 472, з посиланням на базову угоду з Фінським Червоним Хрестом (далі — </w:t>
      </w:r>
      <w:proofErr w:type="spellStart"/>
      <w:r w:rsidRPr="006B7225">
        <w:rPr>
          <w:spacing w:val="-4"/>
          <w:sz w:val="22"/>
          <w:szCs w:val="22"/>
          <w:lang w:val="uk-UA"/>
        </w:rPr>
        <w:t>ФінЧХ</w:t>
      </w:r>
      <w:proofErr w:type="spellEnd"/>
      <w:r w:rsidRPr="006B7225">
        <w:rPr>
          <w:spacing w:val="-4"/>
          <w:sz w:val="22"/>
          <w:szCs w:val="22"/>
          <w:lang w:val="uk-UA"/>
        </w:rPr>
        <w:t xml:space="preserve">) — Партнерську угоду </w:t>
      </w:r>
      <w:proofErr w:type="spellStart"/>
      <w:r w:rsidRPr="006B7225">
        <w:rPr>
          <w:spacing w:val="-4"/>
          <w:sz w:val="22"/>
          <w:szCs w:val="22"/>
          <w:lang w:val="uk-UA"/>
        </w:rPr>
        <w:t>АвстрЧЗ</w:t>
      </w:r>
      <w:proofErr w:type="spellEnd"/>
      <w:r w:rsidRPr="006B7225">
        <w:rPr>
          <w:spacing w:val="-4"/>
          <w:sz w:val="22"/>
          <w:szCs w:val="22"/>
          <w:lang w:val="uk-UA"/>
        </w:rPr>
        <w:t>—</w:t>
      </w:r>
      <w:proofErr w:type="spellStart"/>
      <w:r w:rsidRPr="006B7225">
        <w:rPr>
          <w:spacing w:val="-4"/>
          <w:sz w:val="22"/>
          <w:szCs w:val="22"/>
          <w:lang w:val="uk-UA"/>
        </w:rPr>
        <w:t>ФінЧХ</w:t>
      </w:r>
      <w:proofErr w:type="spellEnd"/>
      <w:r w:rsidRPr="006B7225">
        <w:rPr>
          <w:spacing w:val="-4"/>
          <w:sz w:val="22"/>
          <w:szCs w:val="22"/>
          <w:lang w:val="uk-UA"/>
        </w:rPr>
        <w:t xml:space="preserve"> (квітень 2024 р.) та дві її поправки (підписані у червні та грудні 2025 р. відповідно).</w:t>
      </w:r>
    </w:p>
    <w:p w14:paraId="59A5F81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360"/>
        <w:jc w:val="both"/>
        <w:rPr>
          <w:spacing w:val="-4"/>
          <w:sz w:val="22"/>
          <w:szCs w:val="22"/>
          <w:lang w:val="uk-UA"/>
        </w:rPr>
      </w:pPr>
      <w:r w:rsidRPr="006B7225">
        <w:rPr>
          <w:spacing w:val="-4"/>
          <w:sz w:val="22"/>
          <w:szCs w:val="22"/>
          <w:lang w:val="uk-UA"/>
        </w:rPr>
        <w:t xml:space="preserve">Діяльність у межах проєкту впроваджується </w:t>
      </w:r>
      <w:proofErr w:type="spellStart"/>
      <w:r w:rsidRPr="006B7225">
        <w:rPr>
          <w:spacing w:val="-4"/>
          <w:sz w:val="22"/>
          <w:szCs w:val="22"/>
          <w:lang w:val="uk-UA"/>
        </w:rPr>
        <w:t>АвстрЧХ</w:t>
      </w:r>
      <w:proofErr w:type="spellEnd"/>
      <w:r w:rsidRPr="006B7225">
        <w:rPr>
          <w:spacing w:val="-4"/>
          <w:sz w:val="22"/>
          <w:szCs w:val="22"/>
          <w:lang w:val="uk-UA"/>
        </w:rPr>
        <w:t xml:space="preserve"> та ТЧХУ як </w:t>
      </w:r>
      <w:proofErr w:type="spellStart"/>
      <w:r w:rsidRPr="006B7225">
        <w:rPr>
          <w:spacing w:val="-4"/>
          <w:sz w:val="22"/>
          <w:szCs w:val="22"/>
          <w:lang w:val="uk-UA"/>
        </w:rPr>
        <w:t>впроваджуючим</w:t>
      </w:r>
      <w:proofErr w:type="spellEnd"/>
      <w:r w:rsidRPr="006B7225">
        <w:rPr>
          <w:spacing w:val="-4"/>
          <w:sz w:val="22"/>
          <w:szCs w:val="22"/>
          <w:lang w:val="uk-UA"/>
        </w:rPr>
        <w:t xml:space="preserve"> партнером в Україні. </w:t>
      </w:r>
      <w:proofErr w:type="spellStart"/>
      <w:r w:rsidRPr="006B7225">
        <w:rPr>
          <w:spacing w:val="-4"/>
          <w:sz w:val="22"/>
          <w:szCs w:val="22"/>
          <w:lang w:val="uk-UA"/>
        </w:rPr>
        <w:t>АвстрЧХ</w:t>
      </w:r>
      <w:proofErr w:type="spellEnd"/>
      <w:r w:rsidRPr="006B7225">
        <w:rPr>
          <w:spacing w:val="-4"/>
          <w:sz w:val="22"/>
          <w:szCs w:val="22"/>
          <w:lang w:val="uk-UA"/>
        </w:rPr>
        <w:t xml:space="preserve"> і ТЧХУ співпрацюють на підставі Партнерської угоди цього проєкту (травень 2024 р.) та її 23 поправок (жовтень 2024 р., червень та грудень 2025 р. відповідно).</w:t>
      </w:r>
    </w:p>
    <w:p w14:paraId="4F2A5E3F"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360"/>
        <w:jc w:val="both"/>
        <w:rPr>
          <w:spacing w:val="-4"/>
          <w:sz w:val="22"/>
          <w:szCs w:val="22"/>
          <w:lang w:val="uk-UA"/>
        </w:rPr>
      </w:pPr>
      <w:r w:rsidRPr="006B7225">
        <w:rPr>
          <w:spacing w:val="-4"/>
          <w:sz w:val="22"/>
          <w:szCs w:val="22"/>
          <w:lang w:val="uk-UA"/>
        </w:rPr>
        <w:t xml:space="preserve">Даний механізм імплементації є предметом цього аудиту, зокрема за період з 01.01.2026 по 31.12.2026. Аудит за період до 01.01.2026 було доручено компанії «CROWE </w:t>
      </w:r>
      <w:proofErr w:type="spellStart"/>
      <w:r w:rsidRPr="006B7225">
        <w:rPr>
          <w:spacing w:val="-4"/>
          <w:sz w:val="22"/>
          <w:szCs w:val="22"/>
          <w:lang w:val="uk-UA"/>
        </w:rPr>
        <w:t>Erfolg</w:t>
      </w:r>
      <w:proofErr w:type="spellEnd"/>
      <w:r w:rsidRPr="006B7225">
        <w:rPr>
          <w:spacing w:val="-4"/>
          <w:sz w:val="22"/>
          <w:szCs w:val="22"/>
          <w:lang w:val="uk-UA"/>
        </w:rPr>
        <w:t xml:space="preserve"> </w:t>
      </w:r>
      <w:proofErr w:type="spellStart"/>
      <w:r w:rsidRPr="006B7225">
        <w:rPr>
          <w:spacing w:val="-4"/>
          <w:sz w:val="22"/>
          <w:szCs w:val="22"/>
          <w:lang w:val="uk-UA"/>
        </w:rPr>
        <w:t>Ukraina</w:t>
      </w:r>
      <w:proofErr w:type="spellEnd"/>
      <w:r w:rsidRPr="006B7225">
        <w:rPr>
          <w:spacing w:val="-4"/>
          <w:sz w:val="22"/>
          <w:szCs w:val="22"/>
          <w:lang w:val="uk-UA"/>
        </w:rPr>
        <w:t>».</w:t>
      </w:r>
    </w:p>
    <w:p w14:paraId="276E67F6" w14:textId="77777777" w:rsidR="00815CAA" w:rsidRPr="00CB68D4" w:rsidRDefault="00815CAA" w:rsidP="00815CAA">
      <w:pPr>
        <w:tabs>
          <w:tab w:val="left" w:pos="1304"/>
          <w:tab w:val="left" w:pos="2608"/>
          <w:tab w:val="left" w:pos="3912"/>
          <w:tab w:val="left" w:pos="5216"/>
          <w:tab w:val="left" w:pos="6521"/>
          <w:tab w:val="left" w:pos="7825"/>
        </w:tabs>
        <w:autoSpaceDE w:val="0"/>
        <w:autoSpaceDN w:val="0"/>
        <w:rPr>
          <w:rFonts w:asciiTheme="minorHAnsi" w:eastAsia="MS Gothic" w:hAnsiTheme="minorHAnsi"/>
          <w:color w:val="C00000"/>
          <w:kern w:val="2"/>
          <w:lang w:eastAsia="en-US"/>
          <w14:ligatures w14:val="standardContextual"/>
        </w:rPr>
      </w:pPr>
    </w:p>
    <w:p w14:paraId="5197105F" w14:textId="77777777" w:rsidR="00815CAA" w:rsidRPr="006B7225" w:rsidRDefault="00815CAA" w:rsidP="00815CAA">
      <w:pPr>
        <w:pStyle w:val="af0"/>
        <w:tabs>
          <w:tab w:val="left" w:pos="1304"/>
          <w:tab w:val="left" w:pos="2608"/>
          <w:tab w:val="left" w:pos="3912"/>
          <w:tab w:val="left" w:pos="5216"/>
          <w:tab w:val="left" w:pos="6521"/>
          <w:tab w:val="left" w:pos="7825"/>
        </w:tabs>
        <w:autoSpaceDE w:val="0"/>
        <w:autoSpaceDN w:val="0"/>
        <w:ind w:left="3276"/>
        <w:contextualSpacing/>
        <w:rPr>
          <w:rFonts w:eastAsia="MS Gothic"/>
          <w:b/>
          <w:bCs/>
          <w:kern w:val="2"/>
          <w:lang w:val="uk-UA" w:eastAsia="en-US"/>
          <w14:ligatures w14:val="standardContextual"/>
        </w:rPr>
      </w:pPr>
      <w:r w:rsidRPr="006B7225">
        <w:rPr>
          <w:rFonts w:eastAsia="MS Gothic"/>
          <w:b/>
          <w:bCs/>
          <w:kern w:val="2"/>
          <w:lang w:val="uk-UA" w:eastAsia="en-US"/>
          <w14:ligatures w14:val="standardContextual"/>
        </w:rPr>
        <w:t xml:space="preserve"> Загальна інформація про проєкт</w:t>
      </w:r>
    </w:p>
    <w:p w14:paraId="2B5BFBB5" w14:textId="77777777" w:rsidR="00815CAA" w:rsidRPr="008A4713" w:rsidRDefault="00815CAA" w:rsidP="00815CAA">
      <w:pPr>
        <w:tabs>
          <w:tab w:val="left" w:pos="1304"/>
          <w:tab w:val="left" w:pos="2608"/>
          <w:tab w:val="left" w:pos="3912"/>
          <w:tab w:val="left" w:pos="5216"/>
          <w:tab w:val="left" w:pos="6521"/>
          <w:tab w:val="left" w:pos="7825"/>
        </w:tabs>
        <w:autoSpaceDE w:val="0"/>
        <w:autoSpaceDN w:val="0"/>
        <w:ind w:left="720"/>
        <w:contextualSpacing/>
        <w:rPr>
          <w:rFonts w:asciiTheme="minorHAnsi" w:eastAsia="MS Gothic" w:hAnsiTheme="minorHAnsi"/>
          <w:b/>
          <w:bCs/>
          <w:kern w:val="2"/>
          <w:lang w:val="uk-UA" w:eastAsia="en-US"/>
          <w14:ligatures w14:val="standardContextual"/>
        </w:rPr>
      </w:pPr>
    </w:p>
    <w:p w14:paraId="02D41783"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 xml:space="preserve">Код проєкту </w:t>
      </w:r>
      <w:r w:rsidRPr="006B7225">
        <w:rPr>
          <w:rFonts w:eastAsia="MS Gothic"/>
          <w:kern w:val="2"/>
          <w:lang w:val="uk-UA" w:eastAsia="en-US"/>
          <w14:ligatures w14:val="standardContextual"/>
        </w:rPr>
        <w:t xml:space="preserve">24MAUTRC00N-3074 </w:t>
      </w:r>
      <w:proofErr w:type="spellStart"/>
      <w:r w:rsidRPr="006B7225">
        <w:rPr>
          <w:rFonts w:eastAsia="MS Gothic"/>
          <w:kern w:val="2"/>
          <w:lang w:val="uk-UA" w:eastAsia="en-US"/>
          <w14:ligatures w14:val="standardContextual"/>
        </w:rPr>
        <w:t>Health</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Engagement</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and</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Assistance</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including</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Long-Term</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Transformation</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and</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Humanitarian</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Support</w:t>
      </w:r>
      <w:proofErr w:type="spellEnd"/>
      <w:r w:rsidRPr="006B7225">
        <w:rPr>
          <w:rFonts w:eastAsia="MS Gothic"/>
          <w:kern w:val="2"/>
          <w:lang w:val="uk-UA" w:eastAsia="en-US"/>
          <w14:ligatures w14:val="standardContextual"/>
        </w:rPr>
        <w:t xml:space="preserve"> (</w:t>
      </w:r>
      <w:proofErr w:type="spellStart"/>
      <w:r w:rsidRPr="006B7225">
        <w:rPr>
          <w:rFonts w:eastAsia="MS Gothic"/>
          <w:kern w:val="2"/>
          <w:lang w:val="uk-UA" w:eastAsia="en-US"/>
          <w14:ligatures w14:val="standardContextual"/>
        </w:rPr>
        <w:t>FinHealth</w:t>
      </w:r>
      <w:proofErr w:type="spellEnd"/>
      <w:r w:rsidRPr="006B7225">
        <w:rPr>
          <w:rFonts w:eastAsia="MS Gothic"/>
          <w:kern w:val="2"/>
          <w:lang w:val="uk-UA" w:eastAsia="en-US"/>
          <w14:ligatures w14:val="standardContextual"/>
        </w:rPr>
        <w:t>+)</w:t>
      </w:r>
    </w:p>
    <w:p w14:paraId="1D96BE61"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Період виконання аудиторських робіт</w:t>
      </w:r>
      <w:r w:rsidRPr="006B7225">
        <w:rPr>
          <w:rFonts w:eastAsia="MS Gothic"/>
          <w:kern w:val="2"/>
          <w:lang w:val="uk-UA" w:eastAsia="en-US"/>
          <w14:ligatures w14:val="standardContextual"/>
        </w:rPr>
        <w:t xml:space="preserve"> з 01.01.2027 року по 31.03.2027 року.</w:t>
      </w:r>
    </w:p>
    <w:p w14:paraId="3B125526"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Кінцевий термін подання підписаного фінансового аудиторського звіту</w:t>
      </w:r>
      <w:r w:rsidRPr="006B7225">
        <w:rPr>
          <w:rFonts w:eastAsia="MS Gothic"/>
          <w:kern w:val="2"/>
          <w:lang w:val="uk-UA" w:eastAsia="en-US"/>
          <w14:ligatures w14:val="standardContextual"/>
        </w:rPr>
        <w:t xml:space="preserve"> : 31.03.2027 року.</w:t>
      </w:r>
    </w:p>
    <w:p w14:paraId="49596F57"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 xml:space="preserve">Період перевірки проєкту </w:t>
      </w:r>
      <w:r w:rsidRPr="006B7225">
        <w:rPr>
          <w:rFonts w:eastAsia="MS Gothic"/>
          <w:kern w:val="2"/>
          <w:lang w:val="uk-UA" w:eastAsia="en-US"/>
          <w14:ligatures w14:val="standardContextual"/>
        </w:rPr>
        <w:t>з 01.01.2026 року - по 31.12.2026  року.</w:t>
      </w:r>
    </w:p>
    <w:p w14:paraId="071142F6"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Донор:</w:t>
      </w:r>
      <w:r w:rsidRPr="006B7225">
        <w:rPr>
          <w:rFonts w:eastAsia="MS Gothic"/>
          <w:kern w:val="2"/>
          <w:lang w:val="uk-UA" w:eastAsia="en-US"/>
          <w14:ligatures w14:val="standardContextual"/>
        </w:rPr>
        <w:t xml:space="preserve"> Австрійський Червоний Хрест</w:t>
      </w:r>
    </w:p>
    <w:p w14:paraId="3C428F7D"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b/>
          <w:bCs/>
          <w:kern w:val="2"/>
          <w:lang w:val="uk-UA" w:eastAsia="en-US"/>
          <w14:ligatures w14:val="standardContextual"/>
        </w:rPr>
      </w:pPr>
      <w:r w:rsidRPr="006B7225">
        <w:rPr>
          <w:rFonts w:eastAsia="MS Gothic"/>
          <w:b/>
          <w:bCs/>
          <w:kern w:val="2"/>
          <w:lang w:val="uk-UA" w:eastAsia="en-US"/>
          <w14:ligatures w14:val="standardContextual"/>
        </w:rPr>
        <w:t>Загальний бюджет на період реалізації проєкту</w:t>
      </w:r>
      <w:r w:rsidRPr="006B7225">
        <w:rPr>
          <w:rFonts w:eastAsia="MS Gothic"/>
          <w:kern w:val="2"/>
          <w:lang w:val="uk-UA" w:eastAsia="en-US"/>
          <w14:ligatures w14:val="standardContextual"/>
        </w:rPr>
        <w:t xml:space="preserve"> (2026): </w:t>
      </w:r>
      <w:r w:rsidRPr="006B7225">
        <w:rPr>
          <w:rFonts w:eastAsia="MS Gothic"/>
          <w:b/>
          <w:bCs/>
          <w:kern w:val="2"/>
          <w:lang w:eastAsia="en-US"/>
          <w14:ligatures w14:val="standardContextual"/>
        </w:rPr>
        <w:t xml:space="preserve">  </w:t>
      </w:r>
      <w:r w:rsidRPr="006B7225">
        <w:rPr>
          <w:rFonts w:eastAsia="MS Gothic"/>
          <w:kern w:val="2"/>
          <w:lang w:eastAsia="en-US"/>
          <w14:ligatures w14:val="standardContextual"/>
        </w:rPr>
        <w:t>727 467</w:t>
      </w:r>
      <w:r w:rsidRPr="006B7225">
        <w:rPr>
          <w:rFonts w:eastAsia="MS Gothic"/>
          <w:kern w:val="2"/>
          <w:lang w:val="uk-UA" w:eastAsia="en-US"/>
          <w14:ligatures w14:val="standardContextual"/>
        </w:rPr>
        <w:t>,00 євро.</w:t>
      </w:r>
    </w:p>
    <w:p w14:paraId="60878A1F"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p>
    <w:p w14:paraId="4ACAADB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Кількість операцій на банківських рахунках проєктів</w:t>
      </w:r>
      <w:r w:rsidRPr="006B7225">
        <w:rPr>
          <w:rFonts w:eastAsia="MS Gothic"/>
          <w:kern w:val="2"/>
          <w:lang w:val="uk-UA" w:eastAsia="en-US"/>
          <w14:ligatures w14:val="standardContextual"/>
        </w:rPr>
        <w:t xml:space="preserve"> (у грн): очікується 1000.</w:t>
      </w:r>
    </w:p>
    <w:p w14:paraId="5C761E64"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Кількість папок для перевірки</w:t>
      </w:r>
      <w:r w:rsidRPr="006B7225">
        <w:rPr>
          <w:rFonts w:eastAsia="MS Gothic"/>
          <w:kern w:val="2"/>
          <w:lang w:val="uk-UA" w:eastAsia="en-US"/>
          <w14:ligatures w14:val="standardContextual"/>
        </w:rPr>
        <w:t xml:space="preserve">: 15 </w:t>
      </w:r>
    </w:p>
    <w:p w14:paraId="3A78B9EC"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Адреса офісу</w:t>
      </w:r>
      <w:r w:rsidRPr="006B7225">
        <w:rPr>
          <w:rFonts w:eastAsia="MS Gothic"/>
          <w:kern w:val="2"/>
          <w:lang w:val="uk-UA" w:eastAsia="en-US"/>
          <w14:ligatures w14:val="standardContextual"/>
        </w:rPr>
        <w:t>: м. Київ, вул. Ділова 3</w:t>
      </w:r>
    </w:p>
    <w:p w14:paraId="4481532C"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b/>
          <w:bCs/>
          <w:kern w:val="2"/>
          <w:lang w:val="uk-UA" w:eastAsia="en-US"/>
          <w14:ligatures w14:val="standardContextual"/>
        </w:rPr>
      </w:pPr>
      <w:r w:rsidRPr="006B7225">
        <w:rPr>
          <w:rFonts w:eastAsia="MS Gothic"/>
          <w:b/>
          <w:bCs/>
          <w:kern w:val="2"/>
          <w:lang w:val="uk-UA" w:eastAsia="en-US"/>
          <w14:ligatures w14:val="standardContextual"/>
        </w:rPr>
        <w:t>Номери банківських рахунків:</w:t>
      </w:r>
    </w:p>
    <w:p w14:paraId="3060A0EB"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НК ТЧХУ</w:t>
      </w:r>
      <w:r w:rsidRPr="006B7225">
        <w:rPr>
          <w:rFonts w:eastAsia="MS Gothic"/>
          <w:kern w:val="2"/>
          <w:lang w:val="uk-UA" w:eastAsia="en-US"/>
          <w14:ligatures w14:val="standardContextual"/>
        </w:rPr>
        <w:t xml:space="preserve">: </w:t>
      </w:r>
      <w:r w:rsidRPr="006B7225">
        <w:rPr>
          <w:rFonts w:eastAsia="Calibri"/>
          <w:lang w:val="uk-UA" w:eastAsia="en-US"/>
        </w:rPr>
        <w:t>№UA793510050000026008879213074</w:t>
      </w:r>
    </w:p>
    <w:p w14:paraId="060A1A5C" w14:textId="77777777" w:rsidR="00815CAA" w:rsidRPr="006B7225" w:rsidRDefault="00815CAA" w:rsidP="00815CAA">
      <w:pPr>
        <w:tabs>
          <w:tab w:val="left" w:pos="3342"/>
        </w:tabs>
        <w:ind w:firstLine="709"/>
        <w:jc w:val="both"/>
        <w:rPr>
          <w:lang w:val="uk-UA"/>
        </w:rPr>
      </w:pPr>
      <w:r w:rsidRPr="006B7225">
        <w:rPr>
          <w:rFonts w:eastAsia="MS Gothic"/>
          <w:b/>
          <w:bCs/>
          <w:kern w:val="2"/>
          <w:lang w:val="uk-UA" w:eastAsia="en-US"/>
          <w14:ligatures w14:val="standardContextual"/>
        </w:rPr>
        <w:t>Львівська ОО:</w:t>
      </w:r>
      <w:r w:rsidRPr="006B7225">
        <w:rPr>
          <w:lang w:val="uk-UA"/>
        </w:rPr>
        <w:t xml:space="preserve">  </w:t>
      </w:r>
      <w:r w:rsidRPr="006B7225">
        <w:rPr>
          <w:lang w:val="en-US"/>
        </w:rPr>
        <w:t>UA </w:t>
      </w:r>
      <w:r w:rsidRPr="006B7225">
        <w:rPr>
          <w:lang w:val="uk-UA"/>
        </w:rPr>
        <w:t>343510050000026008879167324</w:t>
      </w:r>
    </w:p>
    <w:p w14:paraId="4CA1FDBC"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720"/>
        <w:contextualSpacing/>
        <w:rPr>
          <w:rFonts w:eastAsia="MS Gothic"/>
          <w:kern w:val="2"/>
          <w:lang w:val="uk-UA" w:eastAsia="en-US"/>
          <w14:ligatures w14:val="standardContextual"/>
        </w:rPr>
      </w:pPr>
      <w:r w:rsidRPr="006B7225">
        <w:rPr>
          <w:rFonts w:eastAsia="MS Gothic"/>
          <w:b/>
          <w:bCs/>
          <w:kern w:val="2"/>
          <w:lang w:val="uk-UA" w:eastAsia="en-US"/>
          <w14:ligatures w14:val="standardContextual"/>
        </w:rPr>
        <w:t>Чернівецька ОО:</w:t>
      </w:r>
      <w:r w:rsidRPr="006B7225">
        <w:rPr>
          <w:lang w:val="uk-UA"/>
        </w:rPr>
        <w:t xml:space="preserve"> </w:t>
      </w:r>
      <w:r w:rsidRPr="006B7225">
        <w:rPr>
          <w:lang w:val="en-US"/>
        </w:rPr>
        <w:t>UA </w:t>
      </w:r>
      <w:r w:rsidRPr="006B7225">
        <w:rPr>
          <w:lang w:val="uk-UA"/>
        </w:rPr>
        <w:t xml:space="preserve">143563340000026003308513852  </w:t>
      </w:r>
    </w:p>
    <w:p w14:paraId="7D8FE59E" w14:textId="77777777" w:rsidR="00815CAA" w:rsidRPr="006B7225" w:rsidRDefault="00815CAA" w:rsidP="00815CAA">
      <w:pPr>
        <w:tabs>
          <w:tab w:val="left" w:pos="3342"/>
        </w:tabs>
        <w:ind w:left="708" w:firstLine="1"/>
        <w:jc w:val="both"/>
        <w:rPr>
          <w:lang w:val="uk-UA"/>
        </w:rPr>
      </w:pPr>
      <w:r w:rsidRPr="006B7225">
        <w:rPr>
          <w:rFonts w:eastAsia="MS Gothic"/>
          <w:b/>
          <w:bCs/>
          <w:kern w:val="2"/>
          <w:lang w:val="uk-UA" w:eastAsia="en-US"/>
          <w14:ligatures w14:val="standardContextual"/>
        </w:rPr>
        <w:t>Закарпатська ОО:</w:t>
      </w:r>
      <w:r w:rsidRPr="006B7225">
        <w:rPr>
          <w:lang w:val="uk-UA"/>
        </w:rPr>
        <w:t xml:space="preserve"> </w:t>
      </w:r>
      <w:r w:rsidRPr="006B7225">
        <w:rPr>
          <w:lang w:val="en-US"/>
        </w:rPr>
        <w:t>UA</w:t>
      </w:r>
      <w:r w:rsidRPr="006B7225">
        <w:rPr>
          <w:lang w:val="uk-UA"/>
        </w:rPr>
        <w:t xml:space="preserve"> 493123560000026005302639754</w:t>
      </w:r>
    </w:p>
    <w:p w14:paraId="1468D3D0" w14:textId="77777777" w:rsidR="00815CAA" w:rsidRPr="002C7AEC" w:rsidRDefault="00815CAA" w:rsidP="00815CAA">
      <w:pPr>
        <w:tabs>
          <w:tab w:val="left" w:pos="1304"/>
          <w:tab w:val="left" w:pos="2608"/>
          <w:tab w:val="left" w:pos="3912"/>
          <w:tab w:val="left" w:pos="5216"/>
          <w:tab w:val="left" w:pos="6521"/>
          <w:tab w:val="left" w:pos="7825"/>
        </w:tabs>
        <w:autoSpaceDE w:val="0"/>
        <w:autoSpaceDN w:val="0"/>
        <w:ind w:left="720"/>
        <w:contextualSpacing/>
        <w:rPr>
          <w:rFonts w:asciiTheme="minorHAnsi" w:eastAsia="MS Gothic" w:hAnsiTheme="minorHAnsi"/>
          <w:kern w:val="2"/>
          <w:lang w:val="uk-UA" w:eastAsia="en-US"/>
          <w14:ligatures w14:val="standardContextual"/>
        </w:rPr>
      </w:pPr>
    </w:p>
    <w:p w14:paraId="14929E51" w14:textId="77777777" w:rsidR="00815CAA" w:rsidRPr="006B7225" w:rsidRDefault="00815CAA" w:rsidP="00815CAA">
      <w:pPr>
        <w:tabs>
          <w:tab w:val="left" w:pos="1296"/>
          <w:tab w:val="left" w:pos="2608"/>
          <w:tab w:val="left" w:pos="3912"/>
          <w:tab w:val="left" w:pos="5216"/>
          <w:tab w:val="left" w:pos="6521"/>
          <w:tab w:val="left" w:pos="7825"/>
        </w:tabs>
        <w:autoSpaceDE w:val="0"/>
        <w:autoSpaceDN w:val="0"/>
        <w:ind w:left="360"/>
        <w:jc w:val="both"/>
        <w:rPr>
          <w:sz w:val="22"/>
          <w:szCs w:val="22"/>
          <w:lang w:val="uk-UA" w:eastAsia="it-IT"/>
        </w:rPr>
      </w:pPr>
      <w:r w:rsidRPr="006B7225">
        <w:rPr>
          <w:lang w:val="uk-UA" w:eastAsia="it-IT"/>
        </w:rPr>
        <w:t xml:space="preserve">Проєкт, що є частиною ширшої програми </w:t>
      </w:r>
      <w:proofErr w:type="spellStart"/>
      <w:r w:rsidRPr="006B7225">
        <w:rPr>
          <w:lang w:val="uk-UA" w:eastAsia="it-IT"/>
        </w:rPr>
        <w:t>АвстрЧХ</w:t>
      </w:r>
      <w:proofErr w:type="spellEnd"/>
      <w:r w:rsidRPr="006B7225">
        <w:rPr>
          <w:lang w:val="uk-UA" w:eastAsia="it-IT"/>
        </w:rPr>
        <w:t xml:space="preserve"> HEALTH+, спрямований на задоволення гуманітарних потреб та зміцнення стійкості людей, постраждалих внаслідок міжнародного</w:t>
      </w:r>
      <w:r w:rsidRPr="006B7225">
        <w:rPr>
          <w:sz w:val="22"/>
          <w:szCs w:val="22"/>
          <w:lang w:val="uk-UA" w:eastAsia="it-IT"/>
        </w:rPr>
        <w:t xml:space="preserve"> збройного конфлікту в Україні. Доступ до первинної медичної допомоги та соціальних послуг покращується завдяки поєднанню діяльності мобільних медичних бригад (ММБ), Догляду вдома (ДВ) та заходів з промоції здоров’я, які впроваджуються у Львівській, Чернівецькій, Закарпатській, Запорізькій та Херсонській областях.</w:t>
      </w:r>
    </w:p>
    <w:p w14:paraId="57D05567" w14:textId="77777777" w:rsidR="00815CAA" w:rsidRPr="006B7225" w:rsidRDefault="00815CAA" w:rsidP="00815CAA">
      <w:pPr>
        <w:tabs>
          <w:tab w:val="left" w:pos="1296"/>
          <w:tab w:val="left" w:pos="2608"/>
          <w:tab w:val="left" w:pos="3912"/>
          <w:tab w:val="left" w:pos="5216"/>
          <w:tab w:val="left" w:pos="6521"/>
          <w:tab w:val="left" w:pos="7825"/>
        </w:tabs>
        <w:autoSpaceDE w:val="0"/>
        <w:autoSpaceDN w:val="0"/>
        <w:ind w:left="360"/>
        <w:jc w:val="both"/>
        <w:rPr>
          <w:sz w:val="22"/>
          <w:szCs w:val="22"/>
          <w:lang w:val="uk-UA" w:eastAsia="it-IT"/>
        </w:rPr>
      </w:pPr>
    </w:p>
    <w:p w14:paraId="6E69314C"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Проєкт має чотири основні цілі:</w:t>
      </w:r>
    </w:p>
    <w:p w14:paraId="54952B7E"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 xml:space="preserve">1. Покращення доступу до медичної допомоги для населення, постраждалого від конфлікту, зокрема у важкодоступних районах. Загалом 15 мобільних медичних бригад (ММБ) надають послуги первинної медичної допомоги у віддалених населених пунктах західних та південних областей України. ММБ забезпечують надання комплексних послуг, зокрема першої медичної допомоги, послуг з психічного здоров’я та психосоціальної підтримки (ПЗПСП), а також перенаправлення до програм догляду вдома. </w:t>
      </w:r>
      <w:r w:rsidRPr="006B7225">
        <w:rPr>
          <w:sz w:val="22"/>
          <w:szCs w:val="22"/>
          <w:lang w:val="uk-UA" w:eastAsia="it-IT"/>
        </w:rPr>
        <w:lastRenderedPageBreak/>
        <w:t>Крім того, впроваджуються та тестуються окремі пілотні сервіси (такі як екстрена медична допомога, соціальний транспорт або моделі перших, хто прибуває на місце події) з метою підтримки довгострокового доступу до медичних послуг.</w:t>
      </w:r>
      <w:r w:rsidRPr="006B7225">
        <w:rPr>
          <w:sz w:val="22"/>
          <w:szCs w:val="22"/>
          <w:lang w:val="uk-UA" w:eastAsia="it-IT"/>
        </w:rPr>
        <w:br/>
      </w:r>
      <w:proofErr w:type="spellStart"/>
      <w:r w:rsidRPr="006B7225">
        <w:rPr>
          <w:sz w:val="22"/>
          <w:szCs w:val="22"/>
          <w:lang w:val="uk-UA" w:eastAsia="it-IT"/>
        </w:rPr>
        <w:t>Мініклініка</w:t>
      </w:r>
      <w:proofErr w:type="spellEnd"/>
      <w:r w:rsidRPr="006B7225">
        <w:rPr>
          <w:sz w:val="22"/>
          <w:szCs w:val="22"/>
          <w:lang w:val="uk-UA" w:eastAsia="it-IT"/>
        </w:rPr>
        <w:t xml:space="preserve"> в Ужгороді продовжує забезпечувати доступ до якісної первинної медичної допомоги. Очікується, що 48 000 осіб отримають користь від послуг ММБ, 1 200 осіб — від пілотних сервісів, та 3 213 осіб — від послуг </w:t>
      </w:r>
      <w:proofErr w:type="spellStart"/>
      <w:r w:rsidRPr="006B7225">
        <w:rPr>
          <w:sz w:val="22"/>
          <w:szCs w:val="22"/>
          <w:lang w:val="uk-UA" w:eastAsia="it-IT"/>
        </w:rPr>
        <w:t>мініклініки</w:t>
      </w:r>
      <w:proofErr w:type="spellEnd"/>
      <w:r w:rsidRPr="006B7225">
        <w:rPr>
          <w:sz w:val="22"/>
          <w:szCs w:val="22"/>
          <w:lang w:val="uk-UA" w:eastAsia="it-IT"/>
        </w:rPr>
        <w:t>.</w:t>
      </w:r>
    </w:p>
    <w:p w14:paraId="79B2566A"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2. Забезпечення доступу до якісного догляду вдома (ДВ) для літніх людей</w:t>
      </w:r>
      <w:r w:rsidRPr="006B7225">
        <w:rPr>
          <w:sz w:val="22"/>
          <w:szCs w:val="22"/>
          <w:lang w:val="uk-UA" w:eastAsia="it-IT"/>
        </w:rPr>
        <w:br/>
        <w:t>Послуги догляду вдома надаються літнім людям та особам з обмеженою мобільністю з урахуванням їхніх індивідуальних потреб та з метою забезпечення регулярної соціальної підтримки. Послуги включають допомогу в повсякденному житті, психосоціальну підтримку та перенаправлення до відповідних сервісів. Для сприяння соціальній інтеграції та добробуту створюються клуби активного довголіття. Очікується, що 400 осіб безпосередньо скористаються послугами ДВ.</w:t>
      </w:r>
    </w:p>
    <w:p w14:paraId="49AA11F3"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 xml:space="preserve">3. Посилення </w:t>
      </w:r>
      <w:proofErr w:type="spellStart"/>
      <w:r w:rsidRPr="006B7225">
        <w:rPr>
          <w:sz w:val="22"/>
          <w:szCs w:val="22"/>
          <w:lang w:val="uk-UA" w:eastAsia="it-IT"/>
        </w:rPr>
        <w:t>спроможностей</w:t>
      </w:r>
      <w:proofErr w:type="spellEnd"/>
      <w:r w:rsidRPr="006B7225">
        <w:rPr>
          <w:sz w:val="22"/>
          <w:szCs w:val="22"/>
          <w:lang w:val="uk-UA" w:eastAsia="it-IT"/>
        </w:rPr>
        <w:t xml:space="preserve"> ТЧХУ на всіх рівнях з фокусом на Захист, </w:t>
      </w:r>
      <w:proofErr w:type="spellStart"/>
      <w:r w:rsidRPr="006B7225">
        <w:rPr>
          <w:sz w:val="22"/>
          <w:szCs w:val="22"/>
          <w:lang w:val="uk-UA" w:eastAsia="it-IT"/>
        </w:rPr>
        <w:t>Гендер</w:t>
      </w:r>
      <w:proofErr w:type="spellEnd"/>
      <w:r w:rsidRPr="006B7225">
        <w:rPr>
          <w:sz w:val="22"/>
          <w:szCs w:val="22"/>
          <w:lang w:val="uk-UA" w:eastAsia="it-IT"/>
        </w:rPr>
        <w:t xml:space="preserve"> та Інклюзію (PGI) і Залучення громад та Підзвітність (CEA)</w:t>
      </w:r>
      <w:r w:rsidRPr="006B7225">
        <w:rPr>
          <w:sz w:val="22"/>
          <w:szCs w:val="22"/>
          <w:lang w:val="uk-UA" w:eastAsia="it-IT"/>
        </w:rPr>
        <w:br/>
        <w:t xml:space="preserve">Для працівників і волонтерів ТЧХУ впроваджуються заходи з розвитку </w:t>
      </w:r>
      <w:proofErr w:type="spellStart"/>
      <w:r w:rsidRPr="006B7225">
        <w:rPr>
          <w:sz w:val="22"/>
          <w:szCs w:val="22"/>
          <w:lang w:val="uk-UA" w:eastAsia="it-IT"/>
        </w:rPr>
        <w:t>спроможностей</w:t>
      </w:r>
      <w:proofErr w:type="spellEnd"/>
      <w:r w:rsidRPr="006B7225">
        <w:rPr>
          <w:sz w:val="22"/>
          <w:szCs w:val="22"/>
          <w:lang w:val="uk-UA" w:eastAsia="it-IT"/>
        </w:rPr>
        <w:t xml:space="preserve">, зокрема тренінги з принципів і практик PGI та CEA. Це спрямовано на забезпечення </w:t>
      </w:r>
      <w:proofErr w:type="spellStart"/>
      <w:r w:rsidRPr="006B7225">
        <w:rPr>
          <w:sz w:val="22"/>
          <w:szCs w:val="22"/>
          <w:lang w:val="uk-UA" w:eastAsia="it-IT"/>
        </w:rPr>
        <w:t>інклюзивності</w:t>
      </w:r>
      <w:proofErr w:type="spellEnd"/>
      <w:r w:rsidRPr="006B7225">
        <w:rPr>
          <w:sz w:val="22"/>
          <w:szCs w:val="22"/>
          <w:lang w:val="uk-UA" w:eastAsia="it-IT"/>
        </w:rPr>
        <w:t xml:space="preserve">, підзвітності та орієнтації послуг на потреби постраждалого населення. Очікується, що 225 працівників та волонтерів ТЧХУ отримають користь від цих заходів з розвитку </w:t>
      </w:r>
      <w:proofErr w:type="spellStart"/>
      <w:r w:rsidRPr="006B7225">
        <w:rPr>
          <w:sz w:val="22"/>
          <w:szCs w:val="22"/>
          <w:lang w:val="uk-UA" w:eastAsia="it-IT"/>
        </w:rPr>
        <w:t>спроможностей</w:t>
      </w:r>
      <w:proofErr w:type="spellEnd"/>
      <w:r w:rsidRPr="006B7225">
        <w:rPr>
          <w:sz w:val="22"/>
          <w:szCs w:val="22"/>
          <w:lang w:val="uk-UA" w:eastAsia="it-IT"/>
        </w:rPr>
        <w:t>.</w:t>
      </w:r>
    </w:p>
    <w:p w14:paraId="1C7F716B"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4. Підвищення обізнаності щодо здоров’я через заходи з промоції здоров’я та профілактики захворювань (ПЗПЗ).</w:t>
      </w:r>
      <w:r w:rsidRPr="006B7225">
        <w:rPr>
          <w:sz w:val="22"/>
          <w:szCs w:val="22"/>
          <w:lang w:val="uk-UA" w:eastAsia="it-IT"/>
        </w:rPr>
        <w:br/>
        <w:t>У цільових областях реалізуються заходи з промоції здоров’я та профілактики захворювань з метою підвищення обізнаності та заохочення здорової поведінки серед населення, постраждалого від конфлікту. Проводяться виїзні заходи та сесії на рівні громад для покращення знань і практик у сфері здоров’я. Очікується, що 200 осіб будуть охоплені цими заходами.</w:t>
      </w:r>
    </w:p>
    <w:p w14:paraId="602EDD0D"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Щодо впровадження проєкту в Україні, ТЧХУ та Австрійський Червоний Хрест (</w:t>
      </w:r>
      <w:proofErr w:type="spellStart"/>
      <w:r w:rsidRPr="006B7225">
        <w:rPr>
          <w:sz w:val="22"/>
          <w:szCs w:val="22"/>
          <w:lang w:val="uk-UA" w:eastAsia="it-IT"/>
        </w:rPr>
        <w:t>АвстрЧХ</w:t>
      </w:r>
      <w:proofErr w:type="spellEnd"/>
      <w:r w:rsidRPr="006B7225">
        <w:rPr>
          <w:sz w:val="22"/>
          <w:szCs w:val="22"/>
          <w:lang w:val="uk-UA" w:eastAsia="it-IT"/>
        </w:rPr>
        <w:t>) уклали Партнерську угоду (разом з усіма додатками) та 32 поправки до неї (усі ці документи разом іменуються як «ПУ»).</w:t>
      </w:r>
    </w:p>
    <w:p w14:paraId="00E32AFF" w14:textId="77777777" w:rsidR="00815CAA" w:rsidRPr="006B7225" w:rsidRDefault="00815CAA" w:rsidP="00815CAA">
      <w:pPr>
        <w:spacing w:before="100" w:beforeAutospacing="1" w:after="100" w:afterAutospacing="1" w:line="300" w:lineRule="atLeast"/>
        <w:ind w:left="360"/>
        <w:rPr>
          <w:sz w:val="22"/>
          <w:szCs w:val="22"/>
          <w:lang w:val="uk-UA" w:eastAsia="it-IT"/>
        </w:rPr>
      </w:pPr>
      <w:r w:rsidRPr="006B7225">
        <w:rPr>
          <w:sz w:val="22"/>
          <w:szCs w:val="22"/>
          <w:lang w:val="uk-UA" w:eastAsia="it-IT"/>
        </w:rPr>
        <w:t xml:space="preserve">Загальний бюджет проєкту становить </w:t>
      </w:r>
      <w:r w:rsidRPr="006B7225">
        <w:rPr>
          <w:lang w:eastAsia="de-DE"/>
        </w:rPr>
        <w:t>4 245 317</w:t>
      </w:r>
      <w:r w:rsidRPr="006B7225">
        <w:rPr>
          <w:lang w:val="uk-UA" w:eastAsia="de-DE"/>
        </w:rPr>
        <w:t xml:space="preserve"> </w:t>
      </w:r>
      <w:r w:rsidRPr="006B7225">
        <w:rPr>
          <w:sz w:val="22"/>
          <w:szCs w:val="22"/>
          <w:lang w:val="uk-UA" w:eastAsia="it-IT"/>
        </w:rPr>
        <w:t>євро. Очікується, що залишок бюджету проєкту, який підлягає перевірці в межах цього завдання, становитиме близько 25 % від загального бюджету.</w:t>
      </w:r>
    </w:p>
    <w:p w14:paraId="25F52200"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240" w:line="259" w:lineRule="auto"/>
        <w:outlineLvl w:val="0"/>
        <w:rPr>
          <w:rFonts w:eastAsia="MS Gothic"/>
          <w:color w:val="C00000"/>
          <w:kern w:val="2"/>
          <w:sz w:val="36"/>
          <w:szCs w:val="36"/>
          <w:lang w:val="en-GB" w:eastAsia="en-US"/>
          <w14:ligatures w14:val="standardContextual"/>
        </w:rPr>
      </w:pPr>
      <w:proofErr w:type="spellStart"/>
      <w:r w:rsidRPr="006B7225">
        <w:rPr>
          <w:rFonts w:eastAsia="MS Gothic"/>
          <w:color w:val="C00000"/>
          <w:kern w:val="2"/>
          <w:sz w:val="36"/>
          <w:szCs w:val="36"/>
          <w:lang w:val="en-GB" w:eastAsia="en-US"/>
          <w14:ligatures w14:val="standardContextual"/>
        </w:rPr>
        <w:t>Цілі</w:t>
      </w:r>
      <w:proofErr w:type="spellEnd"/>
      <w:r w:rsidRPr="006B7225">
        <w:rPr>
          <w:rFonts w:eastAsia="MS Gothic"/>
          <w:color w:val="C00000"/>
          <w:kern w:val="2"/>
          <w:sz w:val="36"/>
          <w:szCs w:val="36"/>
          <w:lang w:val="en-GB" w:eastAsia="en-US"/>
          <w14:ligatures w14:val="standardContextual"/>
        </w:rPr>
        <w:t xml:space="preserve"> </w:t>
      </w:r>
      <w:proofErr w:type="spellStart"/>
      <w:r w:rsidRPr="006B7225">
        <w:rPr>
          <w:rFonts w:eastAsia="MS Gothic"/>
          <w:color w:val="C00000"/>
          <w:kern w:val="2"/>
          <w:sz w:val="36"/>
          <w:szCs w:val="36"/>
          <w:lang w:val="en-GB" w:eastAsia="en-US"/>
          <w14:ligatures w14:val="standardContextual"/>
        </w:rPr>
        <w:t>запланованого</w:t>
      </w:r>
      <w:proofErr w:type="spellEnd"/>
      <w:r w:rsidRPr="006B7225">
        <w:rPr>
          <w:rFonts w:eastAsia="MS Gothic"/>
          <w:color w:val="C00000"/>
          <w:kern w:val="2"/>
          <w:sz w:val="36"/>
          <w:szCs w:val="36"/>
          <w:lang w:val="en-GB" w:eastAsia="en-US"/>
          <w14:ligatures w14:val="standardContextual"/>
        </w:rPr>
        <w:t xml:space="preserve"> </w:t>
      </w:r>
      <w:r w:rsidRPr="006B7225">
        <w:rPr>
          <w:rFonts w:eastAsia="MS Gothic"/>
          <w:color w:val="C00000"/>
          <w:kern w:val="2"/>
          <w:sz w:val="36"/>
          <w:szCs w:val="36"/>
          <w:lang w:val="uk-UA" w:eastAsia="en-US"/>
          <w14:ligatures w14:val="standardContextual"/>
        </w:rPr>
        <w:t>аудиту</w:t>
      </w:r>
    </w:p>
    <w:p w14:paraId="482617AB"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b/>
          <w:sz w:val="22"/>
          <w:szCs w:val="22"/>
          <w:highlight w:val="lightGray"/>
          <w:lang w:val="en-GB" w:eastAsia="it-IT"/>
        </w:rPr>
      </w:pPr>
    </w:p>
    <w:p w14:paraId="7866CCE7"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Завдання з надання аудиту має бути виконане відповідно до стандарту ISAE 3000 (переглянута редакція), а процедури повинні відповідати рамкам цього Технічного завдання та додатків до них.</w:t>
      </w:r>
    </w:p>
    <w:p w14:paraId="1ACFB0E8"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Ключовою метою є отримання перевірки та підтвердження, на основі підтвердної документації та доказів, того, що проєкт і його компоненти були реалізовані з дотриманням відповідних договорів та керівних документів.</w:t>
      </w:r>
    </w:p>
    <w:p w14:paraId="2CC278D8"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240" w:line="259" w:lineRule="auto"/>
        <w:outlineLvl w:val="0"/>
        <w:rPr>
          <w:rFonts w:eastAsia="MS Gothic"/>
          <w:color w:val="C00000"/>
          <w:kern w:val="2"/>
          <w:sz w:val="36"/>
          <w:szCs w:val="36"/>
          <w:lang w:val="en-GB" w:eastAsia="en-US"/>
          <w14:ligatures w14:val="standardContextual"/>
        </w:rPr>
      </w:pPr>
      <w:proofErr w:type="spellStart"/>
      <w:r w:rsidRPr="006B7225">
        <w:rPr>
          <w:rFonts w:eastAsia="MS Gothic"/>
          <w:color w:val="C00000"/>
          <w:kern w:val="2"/>
          <w:sz w:val="36"/>
          <w:szCs w:val="36"/>
          <w:lang w:val="en-GB" w:eastAsia="en-US"/>
          <w14:ligatures w14:val="standardContextual"/>
        </w:rPr>
        <w:t>Кваліфікаційні</w:t>
      </w:r>
      <w:proofErr w:type="spellEnd"/>
      <w:r w:rsidRPr="006B7225">
        <w:rPr>
          <w:rFonts w:eastAsia="MS Gothic"/>
          <w:color w:val="C00000"/>
          <w:kern w:val="2"/>
          <w:sz w:val="36"/>
          <w:szCs w:val="36"/>
          <w:lang w:val="en-GB" w:eastAsia="en-US"/>
          <w14:ligatures w14:val="standardContextual"/>
        </w:rPr>
        <w:t xml:space="preserve"> </w:t>
      </w:r>
      <w:proofErr w:type="spellStart"/>
      <w:r w:rsidRPr="006B7225">
        <w:rPr>
          <w:rFonts w:eastAsia="MS Gothic"/>
          <w:color w:val="C00000"/>
          <w:kern w:val="2"/>
          <w:sz w:val="36"/>
          <w:szCs w:val="36"/>
          <w:lang w:val="en-GB" w:eastAsia="en-US"/>
          <w14:ligatures w14:val="standardContextual"/>
        </w:rPr>
        <w:t>вимоги</w:t>
      </w:r>
      <w:proofErr w:type="spellEnd"/>
      <w:r w:rsidRPr="006B7225">
        <w:rPr>
          <w:rFonts w:eastAsia="MS Gothic"/>
          <w:color w:val="C00000"/>
          <w:kern w:val="2"/>
          <w:sz w:val="36"/>
          <w:szCs w:val="36"/>
          <w:lang w:val="en-GB" w:eastAsia="en-US"/>
          <w14:ligatures w14:val="standardContextual"/>
        </w:rPr>
        <w:t xml:space="preserve"> </w:t>
      </w:r>
      <w:proofErr w:type="spellStart"/>
      <w:r w:rsidRPr="006B7225">
        <w:rPr>
          <w:rFonts w:eastAsia="MS Gothic"/>
          <w:color w:val="C00000"/>
          <w:kern w:val="2"/>
          <w:sz w:val="36"/>
          <w:szCs w:val="36"/>
          <w:lang w:val="en-GB" w:eastAsia="en-US"/>
          <w14:ligatures w14:val="standardContextual"/>
        </w:rPr>
        <w:t>до</w:t>
      </w:r>
      <w:proofErr w:type="spellEnd"/>
      <w:r w:rsidRPr="006B7225">
        <w:rPr>
          <w:rFonts w:eastAsia="MS Gothic"/>
          <w:color w:val="C00000"/>
          <w:kern w:val="2"/>
          <w:sz w:val="36"/>
          <w:szCs w:val="36"/>
          <w:lang w:val="en-GB" w:eastAsia="en-US"/>
          <w14:ligatures w14:val="standardContextual"/>
        </w:rPr>
        <w:t xml:space="preserve"> </w:t>
      </w:r>
      <w:proofErr w:type="spellStart"/>
      <w:r w:rsidRPr="006B7225">
        <w:rPr>
          <w:rFonts w:eastAsia="MS Gothic"/>
          <w:color w:val="C00000"/>
          <w:kern w:val="2"/>
          <w:sz w:val="36"/>
          <w:szCs w:val="36"/>
          <w:lang w:val="en-GB" w:eastAsia="en-US"/>
          <w14:ligatures w14:val="standardContextual"/>
        </w:rPr>
        <w:t>аудиторів</w:t>
      </w:r>
      <w:proofErr w:type="spellEnd"/>
    </w:p>
    <w:p w14:paraId="3BA2B1AA"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en-GB" w:eastAsia="it-IT"/>
        </w:rPr>
      </w:pPr>
    </w:p>
    <w:p w14:paraId="6B868D43"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Аудитор повинен відповідати щонайменше одній з наведених нижче вимог:</w:t>
      </w:r>
    </w:p>
    <w:p w14:paraId="23E6409F" w14:textId="77777777" w:rsidR="00815CAA" w:rsidRPr="006B7225" w:rsidRDefault="00815CAA" w:rsidP="00815CAA">
      <w:pPr>
        <w:numPr>
          <w:ilvl w:val="0"/>
          <w:numId w:val="20"/>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lastRenderedPageBreak/>
        <w:t>Аудитор є членом національної бухгалтерської або аудиторської організації чи інституції, яка, у свою чергу, є членом Міжнародної федерації бухгалтерів (IFAC). Підтвердженням цього є сертифікат відповідного професійного реєстру.</w:t>
      </w:r>
    </w:p>
    <w:p w14:paraId="5349E236" w14:textId="77777777" w:rsidR="00815CAA" w:rsidRPr="006B7225" w:rsidRDefault="00815CAA" w:rsidP="00815CAA">
      <w:pPr>
        <w:numPr>
          <w:ilvl w:val="0"/>
          <w:numId w:val="20"/>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Аудитор зареєстрований як статутний аудитор у публічному реєстрі органу громадського нагляду держави–члена ЄС відповідно до принципів громадського нагляду, визначених Директивою 2006/43/EC Європейського Парламенту та Ради (застосовується до аудиторів та аудиторських фірм, що базуються в державі–члені ЄС).</w:t>
      </w:r>
    </w:p>
    <w:p w14:paraId="54781246" w14:textId="77777777" w:rsidR="00815CAA" w:rsidRPr="006B7225" w:rsidRDefault="00815CAA" w:rsidP="00815CAA">
      <w:pPr>
        <w:numPr>
          <w:ilvl w:val="0"/>
          <w:numId w:val="20"/>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Аудитор зареєстрований як статутний аудитор у публічному реєстрі органу громадського нагляду третьої країни, і такий реєстр підпадає під принципи громадського нагляду, визначені законодавством відповідної країни (застосовується до аудиторів та аудиторських фірм, що базуються у третій країні).</w:t>
      </w:r>
    </w:p>
    <w:p w14:paraId="1D61ED69"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Аудитор зобов’язаний виконувати це Завдання відповідно до Кодексу етики професійних бухгалтерів IFAC, розробленого та виданого Міжнародною радою зі стандартів етики для бухгалтерів IFAC (</w:t>
      </w:r>
      <w:proofErr w:type="spellStart"/>
      <w:r w:rsidRPr="006B7225">
        <w:rPr>
          <w:sz w:val="22"/>
          <w:szCs w:val="22"/>
          <w:lang w:val="uk-UA" w:eastAsia="it-IT"/>
        </w:rPr>
        <w:t>International</w:t>
      </w:r>
      <w:proofErr w:type="spellEnd"/>
      <w:r w:rsidRPr="006B7225">
        <w:rPr>
          <w:sz w:val="22"/>
          <w:szCs w:val="22"/>
          <w:lang w:val="uk-UA" w:eastAsia="it-IT"/>
        </w:rPr>
        <w:t xml:space="preserve"> </w:t>
      </w:r>
      <w:proofErr w:type="spellStart"/>
      <w:r w:rsidRPr="006B7225">
        <w:rPr>
          <w:sz w:val="22"/>
          <w:szCs w:val="22"/>
          <w:lang w:val="uk-UA" w:eastAsia="it-IT"/>
        </w:rPr>
        <w:t>Ethics</w:t>
      </w:r>
      <w:proofErr w:type="spellEnd"/>
      <w:r w:rsidRPr="006B7225">
        <w:rPr>
          <w:sz w:val="22"/>
          <w:szCs w:val="22"/>
          <w:lang w:val="uk-UA" w:eastAsia="it-IT"/>
        </w:rPr>
        <w:t xml:space="preserve"> </w:t>
      </w:r>
      <w:proofErr w:type="spellStart"/>
      <w:r w:rsidRPr="006B7225">
        <w:rPr>
          <w:sz w:val="22"/>
          <w:szCs w:val="22"/>
          <w:lang w:val="uk-UA" w:eastAsia="it-IT"/>
        </w:rPr>
        <w:t>Standards</w:t>
      </w:r>
      <w:proofErr w:type="spellEnd"/>
      <w:r w:rsidRPr="006B7225">
        <w:rPr>
          <w:sz w:val="22"/>
          <w:szCs w:val="22"/>
          <w:lang w:val="uk-UA" w:eastAsia="it-IT"/>
        </w:rPr>
        <w:t xml:space="preserve"> </w:t>
      </w:r>
      <w:proofErr w:type="spellStart"/>
      <w:r w:rsidRPr="006B7225">
        <w:rPr>
          <w:sz w:val="22"/>
          <w:szCs w:val="22"/>
          <w:lang w:val="uk-UA" w:eastAsia="it-IT"/>
        </w:rPr>
        <w:t>Board</w:t>
      </w:r>
      <w:proofErr w:type="spellEnd"/>
      <w:r w:rsidRPr="006B7225">
        <w:rPr>
          <w:sz w:val="22"/>
          <w:szCs w:val="22"/>
          <w:lang w:val="uk-UA" w:eastAsia="it-IT"/>
        </w:rPr>
        <w:t xml:space="preserve"> </w:t>
      </w:r>
      <w:proofErr w:type="spellStart"/>
      <w:r w:rsidRPr="006B7225">
        <w:rPr>
          <w:sz w:val="22"/>
          <w:szCs w:val="22"/>
          <w:lang w:val="uk-UA" w:eastAsia="it-IT"/>
        </w:rPr>
        <w:t>for</w:t>
      </w:r>
      <w:proofErr w:type="spellEnd"/>
      <w:r w:rsidRPr="006B7225">
        <w:rPr>
          <w:sz w:val="22"/>
          <w:szCs w:val="22"/>
          <w:lang w:val="uk-UA" w:eastAsia="it-IT"/>
        </w:rPr>
        <w:t xml:space="preserve"> </w:t>
      </w:r>
      <w:proofErr w:type="spellStart"/>
      <w:r w:rsidRPr="006B7225">
        <w:rPr>
          <w:sz w:val="22"/>
          <w:szCs w:val="22"/>
          <w:lang w:val="uk-UA" w:eastAsia="it-IT"/>
        </w:rPr>
        <w:t>Accountants</w:t>
      </w:r>
      <w:proofErr w:type="spellEnd"/>
      <w:r w:rsidRPr="006B7225">
        <w:rPr>
          <w:sz w:val="22"/>
          <w:szCs w:val="22"/>
          <w:lang w:val="uk-UA" w:eastAsia="it-IT"/>
        </w:rPr>
        <w:t>,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w:t>
      </w:r>
    </w:p>
    <w:p w14:paraId="50DD90C9"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5F085F56"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Відповідно, Аудитор, який виконує це завдання, є членом аудиторської фірми, на яку поширюються вимоги ISQC 1, або інші професійні вимоги чи вимоги законодавства або нормативно-правових актів щодо відповідальності фірми за систему контролю якості, які є щонайменше не менш суворими, ніж вимоги ISQC 1.</w:t>
      </w:r>
    </w:p>
    <w:p w14:paraId="5F3E4ACB"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73C844CE"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Крім того, Аудитор повинен відповідати таким попереднім вимогам для участі у цьому Завданні.</w:t>
      </w:r>
    </w:p>
    <w:p w14:paraId="650484BA"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7964B101"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Аудитор є повністю неупередженим та незалежним від будь</w:t>
      </w:r>
      <w:r w:rsidRPr="006B7225">
        <w:rPr>
          <w:sz w:val="22"/>
          <w:szCs w:val="22"/>
          <w:lang w:val="uk-UA" w:eastAsia="it-IT"/>
        </w:rPr>
        <w:noBreakHyphen/>
        <w:t xml:space="preserve">яких аспектів управління або фінансових інтересів в організації, що підлягає перевірці. У зв’язку з цим Аудитор отримує менше ніж 20 % свого загального сукупного річного обороту від ТЧХУ та інших Національних товариств Червоного Хреста. </w:t>
      </w:r>
    </w:p>
    <w:p w14:paraId="26E7609C"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Аудитор розкриває будь</w:t>
      </w:r>
      <w:r w:rsidRPr="006B7225">
        <w:rPr>
          <w:sz w:val="22"/>
          <w:szCs w:val="22"/>
          <w:lang w:val="uk-UA" w:eastAsia="it-IT"/>
        </w:rPr>
        <w:noBreakHyphen/>
        <w:t xml:space="preserve">який потенційний конфлікт інтересів. </w:t>
      </w:r>
    </w:p>
    <w:p w14:paraId="15721438"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 xml:space="preserve">Аудитор–експерт не брав участі у веденні бухгалтерського обліку за цією операцією. </w:t>
      </w:r>
    </w:p>
    <w:p w14:paraId="547E7020"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 xml:space="preserve">Аудитор–експерт не має жодних особистих </w:t>
      </w:r>
      <w:proofErr w:type="spellStart"/>
      <w:r w:rsidRPr="006B7225">
        <w:rPr>
          <w:sz w:val="22"/>
          <w:szCs w:val="22"/>
          <w:lang w:val="uk-UA" w:eastAsia="it-IT"/>
        </w:rPr>
        <w:t>зв’язків</w:t>
      </w:r>
      <w:proofErr w:type="spellEnd"/>
      <w:r w:rsidRPr="006B7225">
        <w:rPr>
          <w:sz w:val="22"/>
          <w:szCs w:val="22"/>
          <w:lang w:val="uk-UA" w:eastAsia="it-IT"/>
        </w:rPr>
        <w:t xml:space="preserve"> з організацією, що перевіряється, або з її вищим керівництвом. </w:t>
      </w:r>
    </w:p>
    <w:p w14:paraId="11A055EB"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 xml:space="preserve">Аудитор має необхідний персонал з відповідною професійною кваліфікацією та належним досвідом роботи зі стандартами IFAC, а також досвід перевірки фінансової інформації проєктів, співставних за розміром і складністю з проєктом, що є предметом цього Завдання. </w:t>
      </w:r>
    </w:p>
    <w:p w14:paraId="4F0CC720"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Аудитор має значний досвід у виконанні завдань з надання упевненості та аудиту неурядових або неприбуткових організацій, а також програм, що фінансуються міжнародними донорами, з урахуванням нормативно</w:t>
      </w:r>
      <w:r w:rsidRPr="006B7225">
        <w:rPr>
          <w:sz w:val="22"/>
          <w:szCs w:val="22"/>
          <w:lang w:val="uk-UA" w:eastAsia="it-IT"/>
        </w:rPr>
        <w:noBreakHyphen/>
        <w:t xml:space="preserve">правових вимог та правил відповідної країни. Такий досвід включає завдання у сфері допомоги розвитку та реагування на надзвичайні ситуації і катастрофи. </w:t>
      </w:r>
    </w:p>
    <w:p w14:paraId="383FFDA7"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Аудитор має достатні знання відповідного законодавства, нормативно</w:t>
      </w:r>
      <w:r w:rsidRPr="006B7225">
        <w:rPr>
          <w:sz w:val="22"/>
          <w:szCs w:val="22"/>
          <w:lang w:val="uk-UA" w:eastAsia="it-IT"/>
        </w:rPr>
        <w:noBreakHyphen/>
        <w:t xml:space="preserve">правових актів та правил країни, у якій впроваджується проєкт, зокрема (але не виключно) корпоративного права, податкового законодавства, законодавства у сфері соціального забезпечення та трудового законодавства, а також місцевих загальноприйнятих принципів бухгалтерського обліку. </w:t>
      </w:r>
    </w:p>
    <w:p w14:paraId="09F2C025" w14:textId="77777777" w:rsidR="00815CAA" w:rsidRPr="006B7225" w:rsidRDefault="00815CAA" w:rsidP="00815CAA">
      <w:pPr>
        <w:numPr>
          <w:ilvl w:val="0"/>
          <w:numId w:val="15"/>
        </w:numPr>
        <w:tabs>
          <w:tab w:val="left" w:pos="1304"/>
          <w:tab w:val="left" w:pos="2608"/>
          <w:tab w:val="left" w:pos="3912"/>
          <w:tab w:val="left" w:pos="5216"/>
          <w:tab w:val="left" w:pos="6521"/>
          <w:tab w:val="left" w:pos="7825"/>
        </w:tabs>
        <w:autoSpaceDE w:val="0"/>
        <w:autoSpaceDN w:val="0"/>
        <w:spacing w:after="160"/>
        <w:ind w:left="709" w:hanging="425"/>
        <w:contextualSpacing/>
        <w:jc w:val="both"/>
        <w:rPr>
          <w:sz w:val="22"/>
          <w:szCs w:val="22"/>
          <w:lang w:val="uk-UA" w:eastAsia="it-IT"/>
        </w:rPr>
      </w:pPr>
      <w:r w:rsidRPr="006B7225">
        <w:rPr>
          <w:sz w:val="22"/>
          <w:szCs w:val="22"/>
          <w:lang w:val="uk-UA" w:eastAsia="it-IT"/>
        </w:rPr>
        <w:t xml:space="preserve">Аудитор </w:t>
      </w:r>
      <w:proofErr w:type="spellStart"/>
      <w:r w:rsidRPr="006B7225">
        <w:rPr>
          <w:sz w:val="22"/>
          <w:szCs w:val="22"/>
          <w:lang w:val="uk-UA" w:eastAsia="it-IT"/>
        </w:rPr>
        <w:t>надасть</w:t>
      </w:r>
      <w:proofErr w:type="spellEnd"/>
      <w:r w:rsidRPr="006B7225">
        <w:rPr>
          <w:sz w:val="22"/>
          <w:szCs w:val="22"/>
          <w:lang w:val="uk-UA" w:eastAsia="it-IT"/>
        </w:rPr>
        <w:t xml:space="preserve"> ТЧХУ резюме співробітників/експертів, яких планується залучити до виконання цього Завдання, до можливого призначення. Резюме повинні містити достатню інформацію для оцінки пропозиції, зокрема щодо релевантного досвіду для цього завдання та кваліфікаційних робіт, виконаних у минулому.</w:t>
      </w:r>
    </w:p>
    <w:p w14:paraId="40C20210"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360" w:after="80" w:line="259" w:lineRule="auto"/>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Стандарт аудиту</w:t>
      </w:r>
    </w:p>
    <w:p w14:paraId="6DD6099C"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Аудитор зобов’язаний виконувати Завдання відповідно до</w:t>
      </w:r>
    </w:p>
    <w:p w14:paraId="473B91CB" w14:textId="77777777" w:rsidR="00815CAA" w:rsidRPr="006B7225" w:rsidRDefault="00815CAA" w:rsidP="00815CAA">
      <w:pPr>
        <w:numPr>
          <w:ilvl w:val="0"/>
          <w:numId w:val="22"/>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Міжнародного стандарту завдань з надання упевненості ISAE 3000 (переглянута редакція) «Завдання з надання упевненості, крім аудиту та огляду історичної фінансової інформації», опублікованого Радою з міжнародних стандартів аудиту та надання упевненості (IAASB), діяльність якої координується IFAC; </w:t>
      </w:r>
    </w:p>
    <w:p w14:paraId="5354F6C8" w14:textId="77777777" w:rsidR="00815CAA" w:rsidRPr="006B7225" w:rsidRDefault="00815CAA" w:rsidP="00815CAA">
      <w:pPr>
        <w:numPr>
          <w:ilvl w:val="0"/>
          <w:numId w:val="22"/>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lastRenderedPageBreak/>
        <w:t>Кодексу етики професійних бухгалтерів IFAC, розробленого та виданого Міжнародною радою зі стандартів етики для бухгалтерів IFAC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 Хоча застосовний стандарт передбачає, що незалежність не є обов’язковою вимогою для завдань із погодженими процедурами (</w:t>
      </w:r>
      <w:proofErr w:type="spellStart"/>
      <w:r w:rsidRPr="006B7225">
        <w:rPr>
          <w:sz w:val="22"/>
          <w:szCs w:val="22"/>
          <w:lang w:val="uk-UA" w:eastAsia="it-IT"/>
        </w:rPr>
        <w:t>Agreed-upon</w:t>
      </w:r>
      <w:proofErr w:type="spellEnd"/>
      <w:r w:rsidRPr="006B7225">
        <w:rPr>
          <w:sz w:val="22"/>
          <w:szCs w:val="22"/>
          <w:lang w:val="uk-UA" w:eastAsia="it-IT"/>
        </w:rPr>
        <w:t xml:space="preserve"> </w:t>
      </w:r>
      <w:proofErr w:type="spellStart"/>
      <w:r w:rsidRPr="006B7225">
        <w:rPr>
          <w:sz w:val="22"/>
          <w:szCs w:val="22"/>
          <w:lang w:val="uk-UA" w:eastAsia="it-IT"/>
        </w:rPr>
        <w:t>Procedures</w:t>
      </w:r>
      <w:proofErr w:type="spellEnd"/>
      <w:r w:rsidRPr="006B7225">
        <w:rPr>
          <w:sz w:val="22"/>
          <w:szCs w:val="22"/>
          <w:lang w:val="uk-UA" w:eastAsia="it-IT"/>
        </w:rPr>
        <w:t>), Австрійський Червоний Хрест вимагає, щоб Аудитор був незалежним від партнера з реалізації — ТЧХУ — та дотримувався вимог щодо незалежності, встановлених Кодексом етики професійних бухгалтерів IFAC.</w:t>
      </w:r>
    </w:p>
    <w:p w14:paraId="7D8C2EEB"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360" w:after="80" w:line="259" w:lineRule="auto"/>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Період</w:t>
      </w:r>
    </w:p>
    <w:p w14:paraId="05F0EC87" w14:textId="77777777" w:rsidR="00815CAA" w:rsidRPr="006B7225" w:rsidRDefault="00815CAA" w:rsidP="002124EE">
      <w:pPr>
        <w:tabs>
          <w:tab w:val="left" w:pos="1304"/>
          <w:tab w:val="left" w:pos="2608"/>
          <w:tab w:val="left" w:pos="3912"/>
          <w:tab w:val="left" w:pos="5216"/>
          <w:tab w:val="left" w:pos="6521"/>
          <w:tab w:val="left" w:pos="7825"/>
        </w:tabs>
        <w:autoSpaceDE w:val="0"/>
        <w:autoSpaceDN w:val="0"/>
        <w:spacing w:line="300" w:lineRule="atLeast"/>
        <w:ind w:left="643"/>
        <w:contextualSpacing/>
        <w:rPr>
          <w:sz w:val="21"/>
          <w:szCs w:val="21"/>
          <w:lang w:val="uk-UA" w:eastAsia="uk-UA"/>
        </w:rPr>
      </w:pPr>
      <w:r w:rsidRPr="006B7225">
        <w:rPr>
          <w:sz w:val="21"/>
          <w:szCs w:val="21"/>
          <w:lang w:val="uk-UA" w:eastAsia="uk-UA"/>
        </w:rPr>
        <w:t>Це завдання охоплює такі період(-и) реалізації проєкту:</w:t>
      </w:r>
    </w:p>
    <w:p w14:paraId="06AEB3F7"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sz w:val="22"/>
          <w:szCs w:val="22"/>
          <w:lang w:val="uk-UA" w:eastAsia="it-IT"/>
        </w:rPr>
      </w:pPr>
    </w:p>
    <w:p w14:paraId="773AB1B1"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lang w:val="en-GB" w:eastAsia="it-IT"/>
        </w:rPr>
      </w:pPr>
      <w:r w:rsidRPr="006B7225">
        <w:rPr>
          <w:sz w:val="22"/>
          <w:szCs w:val="22"/>
          <w:lang w:val="uk-UA" w:eastAsia="it-IT"/>
        </w:rPr>
        <w:t xml:space="preserve">З </w:t>
      </w:r>
      <w:r w:rsidRPr="006B7225">
        <w:rPr>
          <w:sz w:val="22"/>
          <w:szCs w:val="22"/>
          <w:lang w:val="en-GB" w:eastAsia="it-IT"/>
        </w:rPr>
        <w:t xml:space="preserve">01.01.2026 </w:t>
      </w:r>
      <w:r w:rsidRPr="006B7225">
        <w:rPr>
          <w:sz w:val="22"/>
          <w:szCs w:val="22"/>
          <w:lang w:val="uk-UA" w:eastAsia="it-IT"/>
        </w:rPr>
        <w:t>до</w:t>
      </w:r>
      <w:r w:rsidRPr="006B7225">
        <w:rPr>
          <w:sz w:val="22"/>
          <w:szCs w:val="22"/>
          <w:lang w:val="en-GB" w:eastAsia="it-IT"/>
        </w:rPr>
        <w:t xml:space="preserve"> 31.12.2026</w:t>
      </w:r>
    </w:p>
    <w:p w14:paraId="21BFBE86"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sz w:val="22"/>
          <w:szCs w:val="22"/>
          <w:lang w:val="en-GB" w:eastAsia="it-IT"/>
        </w:rPr>
      </w:pPr>
    </w:p>
    <w:p w14:paraId="53FCF1D2"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240" w:line="259" w:lineRule="auto"/>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Обсяг завдання з аудиту</w:t>
      </w:r>
    </w:p>
    <w:p w14:paraId="29D5E8A5"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Запитуваний обсяг та висновок Аудитора:</w:t>
      </w:r>
    </w:p>
    <w:p w14:paraId="0E4AD63D" w14:textId="77777777" w:rsidR="00815CAA" w:rsidRPr="006B7225" w:rsidRDefault="00815CAA" w:rsidP="00815CAA">
      <w:pPr>
        <w:numPr>
          <w:ilvl w:val="0"/>
          <w:numId w:val="18"/>
        </w:numPr>
        <w:tabs>
          <w:tab w:val="left" w:pos="1304"/>
          <w:tab w:val="left" w:pos="2608"/>
          <w:tab w:val="left" w:pos="3912"/>
          <w:tab w:val="left" w:pos="5216"/>
          <w:tab w:val="left" w:pos="6521"/>
          <w:tab w:val="left" w:pos="7825"/>
        </w:tabs>
        <w:autoSpaceDE w:val="0"/>
        <w:autoSpaceDN w:val="0"/>
        <w:contextualSpacing/>
        <w:jc w:val="both"/>
        <w:rPr>
          <w:sz w:val="22"/>
          <w:szCs w:val="22"/>
          <w:lang w:eastAsia="it-IT"/>
        </w:rPr>
      </w:pPr>
      <w:r w:rsidRPr="006B7225">
        <w:rPr>
          <w:sz w:val="22"/>
          <w:szCs w:val="22"/>
          <w:lang w:val="uk-UA" w:eastAsia="it-IT"/>
        </w:rPr>
        <w:t>фінальні рахунки відповідно до фінансового звіту, підготовленого станом на звітну дату</w:t>
      </w:r>
      <w:r w:rsidRPr="006B7225">
        <w:rPr>
          <w:sz w:val="22"/>
          <w:szCs w:val="22"/>
          <w:lang w:eastAsia="it-IT"/>
        </w:rPr>
        <w:t xml:space="preserve"> 31.12.2026,</w:t>
      </w:r>
      <w:r w:rsidRPr="006B7225">
        <w:rPr>
          <w:sz w:val="22"/>
          <w:szCs w:val="22"/>
          <w:lang w:val="en-GB" w:eastAsia="it-IT"/>
        </w:rPr>
        <w:t>  </w:t>
      </w:r>
    </w:p>
    <w:p w14:paraId="6809A2E5" w14:textId="77777777" w:rsidR="00815CAA" w:rsidRPr="006B7225" w:rsidRDefault="00815CAA" w:rsidP="00815CAA">
      <w:pPr>
        <w:numPr>
          <w:ilvl w:val="0"/>
          <w:numId w:val="18"/>
        </w:numPr>
        <w:tabs>
          <w:tab w:val="left" w:pos="1304"/>
          <w:tab w:val="left" w:pos="2608"/>
          <w:tab w:val="left" w:pos="3912"/>
          <w:tab w:val="left" w:pos="5216"/>
          <w:tab w:val="left" w:pos="6521"/>
          <w:tab w:val="left" w:pos="7825"/>
        </w:tabs>
        <w:autoSpaceDE w:val="0"/>
        <w:autoSpaceDN w:val="0"/>
        <w:contextualSpacing/>
        <w:jc w:val="both"/>
        <w:rPr>
          <w:sz w:val="22"/>
          <w:szCs w:val="22"/>
          <w:lang w:eastAsia="it-IT"/>
        </w:rPr>
      </w:pPr>
      <w:r w:rsidRPr="006B7225">
        <w:rPr>
          <w:sz w:val="22"/>
          <w:szCs w:val="22"/>
          <w:lang w:val="uk-UA" w:eastAsia="it-IT"/>
        </w:rPr>
        <w:t>а також розрахунок відсотків у всіх суттєвих аспектах відповідають положенням партнерської угоди щодо проєкту гуманітарної допомоги «Призначення відповідно до угоди про співпрацю», проєкт</w:t>
      </w:r>
      <w:r w:rsidRPr="006B7225">
        <w:rPr>
          <w:sz w:val="22"/>
          <w:szCs w:val="22"/>
          <w:lang w:eastAsia="it-IT"/>
        </w:rPr>
        <w:t xml:space="preserve"> 146472.</w:t>
      </w:r>
      <w:r w:rsidRPr="006B7225">
        <w:rPr>
          <w:sz w:val="22"/>
          <w:szCs w:val="22"/>
          <w:lang w:val="en-GB" w:eastAsia="it-IT"/>
        </w:rPr>
        <w:t> </w:t>
      </w:r>
    </w:p>
    <w:p w14:paraId="54BB28FF" w14:textId="77777777" w:rsidR="00815CAA" w:rsidRPr="006B7225" w:rsidRDefault="00815CAA" w:rsidP="00815CAA">
      <w:pPr>
        <w:numPr>
          <w:ilvl w:val="0"/>
          <w:numId w:val="18"/>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описові (</w:t>
      </w:r>
      <w:proofErr w:type="spellStart"/>
      <w:r w:rsidRPr="006B7225">
        <w:rPr>
          <w:sz w:val="22"/>
          <w:szCs w:val="22"/>
          <w:lang w:val="uk-UA" w:eastAsia="it-IT"/>
        </w:rPr>
        <w:t>наративні</w:t>
      </w:r>
      <w:proofErr w:type="spellEnd"/>
      <w:r w:rsidRPr="006B7225">
        <w:rPr>
          <w:sz w:val="22"/>
          <w:szCs w:val="22"/>
          <w:lang w:val="uk-UA" w:eastAsia="it-IT"/>
        </w:rPr>
        <w:t>) проміжні/фінальні звіти відповідають проміжним/фінальним фінансовим звітам ТЧХУ;</w:t>
      </w:r>
    </w:p>
    <w:p w14:paraId="2B209781" w14:textId="77777777" w:rsidR="00815CAA" w:rsidRPr="006B7225" w:rsidRDefault="00815CAA" w:rsidP="00815CAA">
      <w:pPr>
        <w:numPr>
          <w:ilvl w:val="0"/>
          <w:numId w:val="18"/>
        </w:numPr>
        <w:tabs>
          <w:tab w:val="left" w:pos="1304"/>
          <w:tab w:val="left" w:pos="2608"/>
          <w:tab w:val="left" w:pos="3912"/>
          <w:tab w:val="left" w:pos="5216"/>
          <w:tab w:val="left" w:pos="6521"/>
          <w:tab w:val="left" w:pos="7825"/>
        </w:tabs>
        <w:autoSpaceDE w:val="0"/>
        <w:autoSpaceDN w:val="0"/>
        <w:contextualSpacing/>
        <w:jc w:val="both"/>
        <w:rPr>
          <w:sz w:val="22"/>
          <w:szCs w:val="22"/>
          <w:lang w:eastAsia="it-IT"/>
        </w:rPr>
      </w:pPr>
      <w:r w:rsidRPr="006B7225">
        <w:rPr>
          <w:sz w:val="22"/>
          <w:szCs w:val="22"/>
          <w:lang w:val="uk-UA" w:eastAsia="it-IT"/>
        </w:rPr>
        <w:t>кошти, надані ТЧХУ за рахунок пожертв на користь Австрійського Червоного Хреста, були використані відповідно до положень Партнерської угоди (ПУ) та змін до неї</w:t>
      </w:r>
      <w:r w:rsidRPr="006B7225">
        <w:rPr>
          <w:sz w:val="22"/>
          <w:szCs w:val="22"/>
          <w:lang w:eastAsia="it-IT"/>
        </w:rPr>
        <w:t>.</w:t>
      </w:r>
      <w:r w:rsidRPr="006B7225">
        <w:rPr>
          <w:sz w:val="22"/>
          <w:szCs w:val="22"/>
          <w:lang w:val="en-GB" w:eastAsia="it-IT"/>
        </w:rPr>
        <w:t> </w:t>
      </w:r>
    </w:p>
    <w:p w14:paraId="1C60F3AD"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sz w:val="22"/>
          <w:szCs w:val="22"/>
          <w:lang w:eastAsia="it-IT"/>
        </w:rPr>
      </w:pPr>
    </w:p>
    <w:p w14:paraId="5E9D7358" w14:textId="184789AA" w:rsidR="00815CAA" w:rsidRPr="006B7225" w:rsidRDefault="00815CAA" w:rsidP="004455CF">
      <w:pPr>
        <w:spacing w:before="100" w:beforeAutospacing="1" w:after="100" w:afterAutospacing="1" w:line="300" w:lineRule="atLeast"/>
        <w:rPr>
          <w:sz w:val="22"/>
          <w:szCs w:val="22"/>
          <w:lang w:val="uk-UA" w:eastAsia="it-IT"/>
        </w:rPr>
      </w:pPr>
      <w:r w:rsidRPr="006B7225">
        <w:rPr>
          <w:sz w:val="22"/>
          <w:szCs w:val="22"/>
          <w:lang w:val="uk-UA" w:eastAsia="it-IT"/>
        </w:rPr>
        <w:t>Висновок Аудитора надається з обґрунтованим рівнем упевненості.</w:t>
      </w:r>
    </w:p>
    <w:p w14:paraId="595EF080"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Ключова мета полягає в отриманні перевірки та підтвердження на основі підтвердних документів і доказів того, що проєкт та його складові були реалізовані з дотриманням вимог відповідних договорів і керівних принципів, на підставі первинної документації та релевантних даних.</w:t>
      </w:r>
    </w:p>
    <w:p w14:paraId="2A3D502B"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У ході виконання завдання з надання впевненості ТЧХУ надає Аудитору належним чином підписану заяву про повноту інформації (лист</w:t>
      </w:r>
      <w:r w:rsidRPr="006B7225">
        <w:rPr>
          <w:sz w:val="22"/>
          <w:szCs w:val="22"/>
          <w:lang w:val="uk-UA" w:eastAsia="it-IT"/>
        </w:rPr>
        <w:noBreakHyphen/>
        <w:t>підтвердження).</w:t>
      </w:r>
    </w:p>
    <w:p w14:paraId="0D394A28" w14:textId="77777777" w:rsidR="00815CAA" w:rsidRPr="006B7225" w:rsidRDefault="00815CAA" w:rsidP="00815CAA">
      <w:pPr>
        <w:spacing w:before="100" w:beforeAutospacing="1" w:after="100" w:afterAutospacing="1" w:line="300" w:lineRule="atLeast"/>
        <w:rPr>
          <w:sz w:val="22"/>
          <w:szCs w:val="22"/>
          <w:lang w:val="uk-UA" w:eastAsia="it-IT"/>
        </w:rPr>
      </w:pPr>
      <w:r w:rsidRPr="006B7225">
        <w:rPr>
          <w:sz w:val="22"/>
          <w:szCs w:val="22"/>
          <w:lang w:val="uk-UA" w:eastAsia="it-IT"/>
        </w:rPr>
        <w:t>Аудитор несе відповідальність за планування та виконання завдання з надання впевненості. У межах цього завдання Аудитор повинен застосовувати щонайменше аудиторські процедури, описані нижче.</w:t>
      </w:r>
    </w:p>
    <w:p w14:paraId="69DE8D69" w14:textId="77777777" w:rsidR="00815CAA" w:rsidRPr="006B7225" w:rsidRDefault="00815CAA" w:rsidP="00815CAA">
      <w:pPr>
        <w:keepNext/>
        <w:keepLines/>
        <w:numPr>
          <w:ilvl w:val="1"/>
          <w:numId w:val="17"/>
        </w:numPr>
        <w:tabs>
          <w:tab w:val="left" w:pos="1304"/>
          <w:tab w:val="left" w:pos="2608"/>
          <w:tab w:val="left" w:pos="3912"/>
          <w:tab w:val="left" w:pos="5216"/>
          <w:tab w:val="left" w:pos="6521"/>
          <w:tab w:val="left" w:pos="7825"/>
        </w:tabs>
        <w:autoSpaceDE w:val="0"/>
        <w:autoSpaceDN w:val="0"/>
        <w:spacing w:before="360" w:after="80" w:line="259" w:lineRule="auto"/>
        <w:ind w:left="851" w:hanging="589"/>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Загальне</w:t>
      </w:r>
    </w:p>
    <w:p w14:paraId="19E3EDC8"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en-GB" w:eastAsia="it-IT"/>
        </w:rPr>
      </w:pPr>
    </w:p>
    <w:p w14:paraId="5825D611"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Реалізація проєкту здійснювалася з дотриманням принципів економічності, ефективності та доцільності;</w:t>
      </w:r>
    </w:p>
    <w:p w14:paraId="3E921DCC"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Було забезпечено належне ведення бухгалтерського обліку та ефективне фінансове управління, відповідні практики здійснення витрат є коректними, дотримано Загальноприйнятих принципів бухгалтерського обліку, а також впроваджено належну та ефективну систему внутрішнього контролю;</w:t>
      </w:r>
    </w:p>
    <w:p w14:paraId="068DE9D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lastRenderedPageBreak/>
        <w:t>Кошти проєкту були використані відповідно до положень Партнерської угоди (ПУ), зокрема:</w:t>
      </w:r>
    </w:p>
    <w:p w14:paraId="0D517318" w14:textId="77777777" w:rsidR="00815CAA" w:rsidRPr="006B7225" w:rsidRDefault="00815CAA" w:rsidP="00815CAA">
      <w:pPr>
        <w:numPr>
          <w:ilvl w:val="1"/>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кошти проєкту використовувалися виключно в межах проєкту та лише за цільовим призначенням;</w:t>
      </w:r>
    </w:p>
    <w:p w14:paraId="08B90EDA" w14:textId="77777777" w:rsidR="00815CAA" w:rsidRPr="006B7225" w:rsidRDefault="00815CAA" w:rsidP="00815CAA">
      <w:pPr>
        <w:numPr>
          <w:ilvl w:val="1"/>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витрати були понесені протягом періоду реалізації проєкту;</w:t>
      </w:r>
    </w:p>
    <w:p w14:paraId="3E7B7E56" w14:textId="77777777" w:rsidR="00815CAA" w:rsidRPr="006B7225" w:rsidRDefault="00815CAA" w:rsidP="00815CAA">
      <w:pPr>
        <w:numPr>
          <w:ilvl w:val="1"/>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витрати відповідають критеріям прийнятності, визначеним у ПУ;</w:t>
      </w:r>
    </w:p>
    <w:p w14:paraId="22AA8B7A"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1724"/>
        <w:contextualSpacing/>
        <w:rPr>
          <w:sz w:val="22"/>
          <w:szCs w:val="22"/>
          <w:lang w:eastAsia="it-IT"/>
        </w:rPr>
      </w:pPr>
    </w:p>
    <w:p w14:paraId="03B57FD2"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rPr>
          <w:sz w:val="22"/>
          <w:szCs w:val="22"/>
          <w:lang w:eastAsia="it-IT"/>
        </w:rPr>
      </w:pPr>
    </w:p>
    <w:p w14:paraId="64F54D1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Фінансовий звіт, поданий ТЧХУ, достовірно відображає фактично понесені витрати (та отримані доходи) за проєкт у відповідному звітному періоді та складений відповідно до ПУ;</w:t>
      </w:r>
    </w:p>
    <w:p w14:paraId="319C49B9"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Витрати / (доходи), задекларовані у Фінансовому звіті, обґрунтовані відповідними підтвердними документами у вигляді справжніх та оригінальних рахунків, квитанцій і ваучерів, що містять усю необхідну інформацію, а також чітко пов’язані з проєктом і строками його реалізації;</w:t>
      </w:r>
    </w:p>
    <w:p w14:paraId="53C4FF2B"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Фінансовий звіт відповідає даним проєктного обліку в бухгалтерській системі ТЧХУ та забезпечує достовірне відображення фінансів проєкту;</w:t>
      </w:r>
    </w:p>
    <w:p w14:paraId="477E00F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Витрати проєкту віднесені до останньої затвердженої редакції бюджету проєкту;</w:t>
      </w:r>
    </w:p>
    <w:p w14:paraId="47F7F69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Окремі витрати, здійснені за рахунок грантових коштів, чітко відображені в обліку проєкту та віднесені до правильних бюджетних статей, визначених у ПУ;</w:t>
      </w:r>
    </w:p>
    <w:p w14:paraId="0EBC1085"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Фінансові перекази (банківські та/або готівкові) підтверджені належними доказами, є </w:t>
      </w:r>
      <w:proofErr w:type="spellStart"/>
      <w:r w:rsidRPr="006B7225">
        <w:rPr>
          <w:sz w:val="22"/>
          <w:szCs w:val="22"/>
          <w:lang w:val="uk-UA" w:eastAsia="it-IT"/>
        </w:rPr>
        <w:t>простежуваними</w:t>
      </w:r>
      <w:proofErr w:type="spellEnd"/>
      <w:r w:rsidRPr="006B7225">
        <w:rPr>
          <w:sz w:val="22"/>
          <w:szCs w:val="22"/>
          <w:lang w:val="uk-UA" w:eastAsia="it-IT"/>
        </w:rPr>
        <w:t xml:space="preserve"> та зрозумілими і можуть бути звірені із задекларованими (доходами та) витратами;</w:t>
      </w:r>
    </w:p>
    <w:p w14:paraId="5FD275F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Витрати є обґрунтованими для реалізації проєкту з урахуванням його визначення та цілей, встановлених у ПУ;</w:t>
      </w:r>
    </w:p>
    <w:p w14:paraId="2805432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У разі розподілу витрат застосований ключ розподілу ґрунтується на достатній, належній та </w:t>
      </w:r>
      <w:proofErr w:type="spellStart"/>
      <w:r w:rsidRPr="006B7225">
        <w:rPr>
          <w:sz w:val="22"/>
          <w:szCs w:val="22"/>
          <w:lang w:val="uk-UA" w:eastAsia="it-IT"/>
        </w:rPr>
        <w:t>перевірюваній</w:t>
      </w:r>
      <w:proofErr w:type="spellEnd"/>
      <w:r w:rsidRPr="006B7225">
        <w:rPr>
          <w:sz w:val="22"/>
          <w:szCs w:val="22"/>
          <w:lang w:val="uk-UA" w:eastAsia="it-IT"/>
        </w:rPr>
        <w:t xml:space="preserve"> базовій інформації;</w:t>
      </w:r>
    </w:p>
    <w:p w14:paraId="6CEEEE23"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Будь</w:t>
      </w:r>
      <w:r w:rsidRPr="006B7225">
        <w:rPr>
          <w:sz w:val="22"/>
          <w:szCs w:val="22"/>
          <w:lang w:val="uk-UA" w:eastAsia="it-IT"/>
        </w:rPr>
        <w:noBreakHyphen/>
        <w:t>яке перевищення витрат перебуває в межах допустимого порогу, визначеного у ПУ;</w:t>
      </w:r>
    </w:p>
    <w:p w14:paraId="253297EC"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Заявлені витрати проєкту є чистими витратами та не містять податку на додану вартість (ПДВ). У разі якщо витрати включають ПДВ, Аудитор підтверджує, що ТЧХУ не звільнене від сплати ПДВ та не має права на відшкодування вхідного ПДВ;</w:t>
      </w:r>
    </w:p>
    <w:p w14:paraId="20FAFF1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У випадку, якщо ТЧХУ відображає витрати з ПДВ, Аудитор перевіряє, чи підтверджено це відповідним сертифікатом. Бажано, щоб такий сертифікат був виданий державним органом. Якщо отримати таке підтвердження неможливо, Аудитор підтверджує, що ТЧХУ не звільнене від ПДВ та не може відшкодовувати вхідний ПДВ;</w:t>
      </w:r>
    </w:p>
    <w:p w14:paraId="581904B3"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Усі витрати, заявлені у Фінансовому звіті, були повністю здійснені та оплачені; до фінансового звіту не включено жодних неоплачених рахунків або нарахованих витрат;</w:t>
      </w:r>
    </w:p>
    <w:p w14:paraId="52D61DB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Наявні всі необхідні підтвердні документи щодо витрат на персонал, і такі витрати відображені </w:t>
      </w:r>
      <w:proofErr w:type="spellStart"/>
      <w:r w:rsidRPr="006B7225">
        <w:rPr>
          <w:sz w:val="22"/>
          <w:szCs w:val="22"/>
          <w:lang w:val="uk-UA" w:eastAsia="it-IT"/>
        </w:rPr>
        <w:t>коректно</w:t>
      </w:r>
      <w:proofErr w:type="spellEnd"/>
      <w:r w:rsidRPr="006B7225">
        <w:rPr>
          <w:sz w:val="22"/>
          <w:szCs w:val="22"/>
          <w:lang w:val="uk-UA" w:eastAsia="it-IT"/>
        </w:rPr>
        <w:t>. Зокрема, Аудитор перевіряє:</w:t>
      </w:r>
    </w:p>
    <w:p w14:paraId="7B3EFBC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rPr>
          <w:sz w:val="22"/>
          <w:szCs w:val="22"/>
          <w:lang w:val="en-GB" w:eastAsia="it-IT"/>
        </w:rPr>
      </w:pPr>
    </w:p>
    <w:p w14:paraId="3A4CE1C5" w14:textId="77777777" w:rsidR="00815CAA" w:rsidRPr="006B7225" w:rsidRDefault="00815CAA" w:rsidP="00815CAA">
      <w:pPr>
        <w:numPr>
          <w:ilvl w:val="1"/>
          <w:numId w:val="2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наявність трудових договорів відповідно до чинного національного законодавства;</w:t>
      </w:r>
    </w:p>
    <w:p w14:paraId="327E277F" w14:textId="77777777" w:rsidR="00815CAA" w:rsidRPr="006B7225" w:rsidRDefault="00815CAA" w:rsidP="00815CAA">
      <w:pPr>
        <w:numPr>
          <w:ilvl w:val="1"/>
          <w:numId w:val="2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правильність розрахунку витрат на персонал на підставі затверджених табелів обліку робочого часу, підтверджених розрахунковими листами та доказами виплати заробітної плати, а також їх відповідність затвердженому бюджету проєкту та положенням ПУ;</w:t>
      </w:r>
    </w:p>
    <w:p w14:paraId="2CBE0050" w14:textId="77777777" w:rsidR="00815CAA" w:rsidRPr="006B7225" w:rsidRDefault="00815CAA" w:rsidP="00815CAA">
      <w:pPr>
        <w:numPr>
          <w:ilvl w:val="1"/>
          <w:numId w:val="2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що у Фінансовому звіті заявлені лише фактично виплачені витрати на персонал, підтверджені відповідними документами;</w:t>
      </w:r>
    </w:p>
    <w:p w14:paraId="101EDA5A" w14:textId="77777777" w:rsidR="00815CAA" w:rsidRPr="006B7225" w:rsidRDefault="00815CAA" w:rsidP="00815CAA">
      <w:pPr>
        <w:spacing w:before="100" w:beforeAutospacing="1" w:after="100" w:afterAutospacing="1" w:line="300" w:lineRule="atLeast"/>
        <w:ind w:left="1440"/>
        <w:contextualSpacing/>
        <w:rPr>
          <w:sz w:val="22"/>
          <w:szCs w:val="22"/>
          <w:lang w:val="uk-UA" w:eastAsia="it-IT"/>
        </w:rPr>
      </w:pPr>
    </w:p>
    <w:p w14:paraId="0AAB67A5"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Нараховані відсотки були задекларовані;</w:t>
      </w:r>
    </w:p>
    <w:p w14:paraId="6CB3DA37"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Конвертація валют здійснена </w:t>
      </w:r>
      <w:proofErr w:type="spellStart"/>
      <w:r w:rsidRPr="006B7225">
        <w:rPr>
          <w:sz w:val="22"/>
          <w:szCs w:val="22"/>
          <w:lang w:val="uk-UA" w:eastAsia="it-IT"/>
        </w:rPr>
        <w:t>коректно</w:t>
      </w:r>
      <w:proofErr w:type="spellEnd"/>
      <w:r w:rsidRPr="006B7225">
        <w:rPr>
          <w:sz w:val="22"/>
          <w:szCs w:val="22"/>
          <w:lang w:val="uk-UA" w:eastAsia="it-IT"/>
        </w:rPr>
        <w:t>; зокрема, валютний перерахунок виконано відповідно до ПУ та підтверджено квитанціями про обмін валюти та/або відповідними банківськими виписками;</w:t>
      </w:r>
    </w:p>
    <w:p w14:paraId="4AC74F70"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contextualSpacing/>
        <w:rPr>
          <w:sz w:val="22"/>
          <w:szCs w:val="22"/>
          <w:lang w:eastAsia="it-IT"/>
        </w:rPr>
      </w:pPr>
      <w:r w:rsidRPr="006B7225">
        <w:rPr>
          <w:sz w:val="22"/>
          <w:szCs w:val="22"/>
          <w:lang w:val="uk-UA" w:eastAsia="it-IT"/>
        </w:rPr>
        <w:t>Дотримано правил щодо відрядних витрат;</w:t>
      </w:r>
    </w:p>
    <w:p w14:paraId="5B3F6569"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Перелік активів є повним, а зазначені активи використовувалися для цілей проєкту;</w:t>
      </w:r>
    </w:p>
    <w:p w14:paraId="2A22524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lastRenderedPageBreak/>
        <w:t>Амортизація інвестиційних активів, які залишаються у розпорядженні ТЧХУ після завершення строку дії ПУ, розрахована належним чином;</w:t>
      </w:r>
    </w:p>
    <w:p w14:paraId="01BC0FB2"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Транспортні засоби проєкту (за наявності) використовувалися відповідно до стандартів, визначених у ПУ;</w:t>
      </w:r>
    </w:p>
    <w:p w14:paraId="26B2CA3A"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Дотримано вимог законодавства у сфері соціального забезпечення та трудових відносин;</w:t>
      </w:r>
    </w:p>
    <w:p w14:paraId="3404CD25"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Дотримано положень корпоративного та податкового законодавства;</w:t>
      </w:r>
    </w:p>
    <w:p w14:paraId="373EC62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Дотримано застосовних правил </w:t>
      </w:r>
      <w:proofErr w:type="spellStart"/>
      <w:r w:rsidRPr="006B7225">
        <w:rPr>
          <w:sz w:val="22"/>
          <w:szCs w:val="22"/>
          <w:lang w:val="uk-UA" w:eastAsia="it-IT"/>
        </w:rPr>
        <w:t>закупівель</w:t>
      </w:r>
      <w:proofErr w:type="spellEnd"/>
      <w:r w:rsidRPr="006B7225">
        <w:rPr>
          <w:sz w:val="22"/>
          <w:szCs w:val="22"/>
          <w:lang w:val="uk-UA" w:eastAsia="it-IT"/>
        </w:rPr>
        <w:t>;</w:t>
      </w:r>
    </w:p>
    <w:p w14:paraId="7E44AB7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Виконано вимоги донора </w:t>
      </w:r>
      <w:proofErr w:type="spellStart"/>
      <w:r w:rsidRPr="006B7225">
        <w:rPr>
          <w:sz w:val="22"/>
          <w:szCs w:val="22"/>
          <w:lang w:val="uk-UA" w:eastAsia="it-IT"/>
        </w:rPr>
        <w:t>ФінЧХ</w:t>
      </w:r>
      <w:proofErr w:type="spellEnd"/>
      <w:r w:rsidRPr="006B7225">
        <w:rPr>
          <w:sz w:val="22"/>
          <w:szCs w:val="22"/>
          <w:lang w:val="uk-UA" w:eastAsia="it-IT"/>
        </w:rPr>
        <w:t xml:space="preserve"> щодо видимості;</w:t>
      </w:r>
    </w:p>
    <w:p w14:paraId="2B730A9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За наявності відповідних вимог підтверджено, що описовий (</w:t>
      </w:r>
      <w:proofErr w:type="spellStart"/>
      <w:r w:rsidRPr="006B7225">
        <w:rPr>
          <w:sz w:val="22"/>
          <w:szCs w:val="22"/>
          <w:lang w:val="uk-UA" w:eastAsia="it-IT"/>
        </w:rPr>
        <w:t>наративний</w:t>
      </w:r>
      <w:proofErr w:type="spellEnd"/>
      <w:r w:rsidRPr="006B7225">
        <w:rPr>
          <w:sz w:val="22"/>
          <w:szCs w:val="22"/>
          <w:lang w:val="uk-UA" w:eastAsia="it-IT"/>
        </w:rPr>
        <w:t>) звіт відповідає Формі бюджетного контролю.</w:t>
      </w:r>
    </w:p>
    <w:p w14:paraId="776AF1CA" w14:textId="77777777" w:rsidR="00815CAA" w:rsidRPr="006B7225" w:rsidRDefault="00815CAA" w:rsidP="00815CAA">
      <w:pPr>
        <w:keepNext/>
        <w:keepLines/>
        <w:numPr>
          <w:ilvl w:val="1"/>
          <w:numId w:val="17"/>
        </w:numPr>
        <w:tabs>
          <w:tab w:val="left" w:pos="1304"/>
          <w:tab w:val="left" w:pos="2608"/>
          <w:tab w:val="left" w:pos="3912"/>
          <w:tab w:val="left" w:pos="5216"/>
          <w:tab w:val="left" w:pos="6521"/>
          <w:tab w:val="left" w:pos="7825"/>
        </w:tabs>
        <w:autoSpaceDE w:val="0"/>
        <w:autoSpaceDN w:val="0"/>
        <w:spacing w:before="360" w:after="80" w:line="259" w:lineRule="auto"/>
        <w:ind w:left="851" w:hanging="589"/>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Тренінги</w:t>
      </w:r>
    </w:p>
    <w:p w14:paraId="5CCABA88" w14:textId="77777777" w:rsidR="00815CAA" w:rsidRPr="006B7225" w:rsidRDefault="00815CAA" w:rsidP="00815CAA">
      <w:pPr>
        <w:tabs>
          <w:tab w:val="left" w:pos="1560"/>
        </w:tabs>
        <w:autoSpaceDE w:val="0"/>
        <w:autoSpaceDN w:val="0"/>
        <w:jc w:val="both"/>
        <w:rPr>
          <w:sz w:val="22"/>
          <w:szCs w:val="22"/>
          <w:lang w:val="en-US" w:eastAsia="it-IT"/>
        </w:rPr>
      </w:pPr>
    </w:p>
    <w:p w14:paraId="6862DFD3"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en-GB" w:eastAsia="it-IT"/>
        </w:rPr>
      </w:pPr>
      <w:r w:rsidRPr="006B7225">
        <w:rPr>
          <w:sz w:val="22"/>
          <w:szCs w:val="22"/>
          <w:lang w:val="uk-UA" w:eastAsia="it-IT"/>
        </w:rPr>
        <w:t>У разі застосування, щодо програм навчання або навчальних компонентів у межах проєкту, Аудитор додатково перевіряє та підтверджує (на основі ризик</w:t>
      </w:r>
      <w:r w:rsidRPr="006B7225">
        <w:rPr>
          <w:sz w:val="22"/>
          <w:szCs w:val="22"/>
          <w:lang w:val="uk-UA" w:eastAsia="it-IT"/>
        </w:rPr>
        <w:noBreakHyphen/>
        <w:t>орієнтованого підходу), спираючись на оригінальну документацію та відповідні джерела даних, що</w:t>
      </w:r>
      <w:r w:rsidRPr="006B7225">
        <w:rPr>
          <w:sz w:val="22"/>
          <w:szCs w:val="22"/>
          <w:lang w:val="en-GB" w:eastAsia="it-IT"/>
        </w:rPr>
        <w:t>:</w:t>
      </w:r>
    </w:p>
    <w:p w14:paraId="34319B7D" w14:textId="77777777" w:rsidR="00815CAA" w:rsidRPr="006B7225" w:rsidRDefault="00815CAA" w:rsidP="00815CAA">
      <w:pPr>
        <w:tabs>
          <w:tab w:val="left" w:pos="1560"/>
        </w:tabs>
        <w:autoSpaceDE w:val="0"/>
        <w:autoSpaceDN w:val="0"/>
        <w:jc w:val="both"/>
        <w:rPr>
          <w:sz w:val="22"/>
          <w:szCs w:val="22"/>
          <w:lang w:val="en-US" w:eastAsia="it-IT"/>
        </w:rPr>
      </w:pPr>
    </w:p>
    <w:p w14:paraId="6E26CB38"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визначені критерії відбору учасників тренінгів належним чином застосовуються, а документація щодо процесу відбору є доступною;</w:t>
      </w:r>
    </w:p>
    <w:p w14:paraId="614F281D"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учасники тренінгів відповідають цільовій групі відповідно до визначення проєкту;</w:t>
      </w:r>
    </w:p>
    <w:p w14:paraId="34C2DBA5"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документація щодо оцінки потреб є в наявності (за наявності такої вимоги);</w:t>
      </w:r>
    </w:p>
    <w:p w14:paraId="32710D21"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 xml:space="preserve">відбір і залучення тренерів здійснюється відповідно до процедур </w:t>
      </w:r>
      <w:proofErr w:type="spellStart"/>
      <w:r w:rsidRPr="006B7225">
        <w:rPr>
          <w:sz w:val="22"/>
          <w:szCs w:val="22"/>
          <w:lang w:val="uk-UA" w:eastAsia="it-IT"/>
        </w:rPr>
        <w:t>закупівель</w:t>
      </w:r>
      <w:proofErr w:type="spellEnd"/>
      <w:r w:rsidRPr="006B7225">
        <w:rPr>
          <w:sz w:val="22"/>
          <w:szCs w:val="22"/>
          <w:lang w:val="uk-UA" w:eastAsia="it-IT"/>
        </w:rPr>
        <w:t>, визначених у Партнерській угоді (ПУ);</w:t>
      </w:r>
    </w:p>
    <w:p w14:paraId="361169B4"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професійна експертиза відібраних тренерів підтверджується відповідними резюме (CV), кваліфікаційними сертифікатами та іншими підтвердними документами;</w:t>
      </w:r>
    </w:p>
    <w:p w14:paraId="5510F981"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кількість тренерів у співвідношенні до кількості учасників та кількість проведених тренінгів;</w:t>
      </w:r>
    </w:p>
    <w:p w14:paraId="07409EE9"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наявна документація щодо змісту тренінгів (наприклад, навчальні матеріали, тренінгові вправи, інша релевантна документація);</w:t>
      </w:r>
    </w:p>
    <w:p w14:paraId="551D0A57" w14:textId="77777777" w:rsidR="00815CAA" w:rsidRPr="006B7225" w:rsidRDefault="00815CAA" w:rsidP="00815CAA">
      <w:pPr>
        <w:numPr>
          <w:ilvl w:val="0"/>
          <w:numId w:val="1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contextualSpacing/>
        <w:rPr>
          <w:sz w:val="22"/>
          <w:szCs w:val="22"/>
          <w:lang w:val="uk-UA" w:eastAsia="it-IT"/>
        </w:rPr>
      </w:pPr>
      <w:r w:rsidRPr="006B7225">
        <w:rPr>
          <w:sz w:val="22"/>
          <w:szCs w:val="22"/>
          <w:lang w:val="uk-UA" w:eastAsia="it-IT"/>
        </w:rPr>
        <w:t>тренінги фактично були проведені (наприклад, підписані списки учасників, форми зворотного зв’язку від учасників, фотоматеріали заходів);</w:t>
      </w:r>
      <w:r w:rsidRPr="006B7225">
        <w:rPr>
          <w:sz w:val="22"/>
          <w:szCs w:val="22"/>
          <w:lang w:val="uk-UA" w:eastAsia="it-IT"/>
        </w:rPr>
        <w:br/>
        <w:t>• загальні витрати на навчання у співвідношенні до відповідної(</w:t>
      </w:r>
      <w:proofErr w:type="spellStart"/>
      <w:r w:rsidRPr="006B7225">
        <w:rPr>
          <w:sz w:val="22"/>
          <w:szCs w:val="22"/>
          <w:lang w:val="uk-UA" w:eastAsia="it-IT"/>
        </w:rPr>
        <w:t>их</w:t>
      </w:r>
      <w:proofErr w:type="spellEnd"/>
      <w:r w:rsidRPr="006B7225">
        <w:rPr>
          <w:sz w:val="22"/>
          <w:szCs w:val="22"/>
          <w:lang w:val="uk-UA" w:eastAsia="it-IT"/>
        </w:rPr>
        <w:t>) бюджетної(</w:t>
      </w:r>
      <w:proofErr w:type="spellStart"/>
      <w:r w:rsidRPr="006B7225">
        <w:rPr>
          <w:sz w:val="22"/>
          <w:szCs w:val="22"/>
          <w:lang w:val="uk-UA" w:eastAsia="it-IT"/>
        </w:rPr>
        <w:t>их</w:t>
      </w:r>
      <w:proofErr w:type="spellEnd"/>
      <w:r w:rsidRPr="006B7225">
        <w:rPr>
          <w:sz w:val="22"/>
          <w:szCs w:val="22"/>
          <w:lang w:val="uk-UA" w:eastAsia="it-IT"/>
        </w:rPr>
        <w:t>) лінії(й), визначеної(</w:t>
      </w:r>
      <w:proofErr w:type="spellStart"/>
      <w:r w:rsidRPr="006B7225">
        <w:rPr>
          <w:sz w:val="22"/>
          <w:szCs w:val="22"/>
          <w:lang w:val="uk-UA" w:eastAsia="it-IT"/>
        </w:rPr>
        <w:t>их</w:t>
      </w:r>
      <w:proofErr w:type="spellEnd"/>
      <w:r w:rsidRPr="006B7225">
        <w:rPr>
          <w:sz w:val="22"/>
          <w:szCs w:val="22"/>
          <w:lang w:val="uk-UA" w:eastAsia="it-IT"/>
        </w:rPr>
        <w:t>) у фінансовому зведенні проєкту.</w:t>
      </w:r>
    </w:p>
    <w:p w14:paraId="56228033"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240" w:line="259" w:lineRule="auto"/>
        <w:jc w:val="both"/>
        <w:outlineLvl w:val="0"/>
        <w:rPr>
          <w:rFonts w:eastAsia="MS Gothic"/>
          <w:color w:val="C00000"/>
          <w:kern w:val="2"/>
          <w:sz w:val="36"/>
          <w:szCs w:val="36"/>
          <w:lang w:val="uk-UA" w:eastAsia="en-US"/>
          <w14:ligatures w14:val="standardContextual"/>
        </w:rPr>
      </w:pPr>
      <w:r w:rsidRPr="006B7225">
        <w:rPr>
          <w:rFonts w:eastAsia="MS Gothic"/>
          <w:color w:val="C00000"/>
          <w:kern w:val="2"/>
          <w:sz w:val="36"/>
          <w:szCs w:val="36"/>
          <w:lang w:val="uk-UA" w:eastAsia="en-US"/>
          <w14:ligatures w14:val="standardContextual"/>
        </w:rPr>
        <w:t>Суттєвість та коефіцієнт охоплення витрат</w:t>
      </w:r>
    </w:p>
    <w:p w14:paraId="049D0125"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jc w:val="both"/>
        <w:rPr>
          <w:lang w:val="en-GB" w:eastAsia="it-IT"/>
        </w:rPr>
      </w:pPr>
    </w:p>
    <w:p w14:paraId="1641890A"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Рівень суттєвості становить 1% від загальної суми заявлених витрат.</w:t>
      </w:r>
      <w:r w:rsidRPr="006B7225">
        <w:rPr>
          <w:sz w:val="22"/>
          <w:szCs w:val="22"/>
          <w:lang w:val="uk-UA" w:eastAsia="it-IT"/>
        </w:rPr>
        <w:br/>
        <w:t>Рівень суттєвості за кожною бюджетною лінією, визначеною у фінансовому звіті, встановлюється на максимальному рівні 0,5%.</w:t>
      </w:r>
    </w:p>
    <w:p w14:paraId="6B32F8A1"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1D793AF1"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[ЗА ПОТРЕБИ:] Просимо враховувати коефіцієнт покриття витрат (КПВ):</w:t>
      </w:r>
      <w:r w:rsidRPr="006B7225">
        <w:rPr>
          <w:sz w:val="22"/>
          <w:szCs w:val="22"/>
          <w:lang w:val="uk-UA" w:eastAsia="it-IT"/>
        </w:rPr>
        <w:br/>
        <w:t>Аудитор забезпечує, щоб загальний показник КПВ становив щонайменше 65%.</w:t>
      </w:r>
      <w:r w:rsidRPr="006B7225">
        <w:rPr>
          <w:sz w:val="22"/>
          <w:szCs w:val="22"/>
          <w:lang w:val="uk-UA" w:eastAsia="it-IT"/>
        </w:rPr>
        <w:br/>
        <w:t>У разі якщо Аудитор виявляє рівень відхилень менше 1% від загальної суми перевірених витрат (тобто 0,5%), Аудитор завершує процедури перевірки та переходить до підготовки звіту.</w:t>
      </w:r>
      <w:r w:rsidRPr="006B7225">
        <w:rPr>
          <w:sz w:val="22"/>
          <w:szCs w:val="22"/>
          <w:lang w:val="uk-UA" w:eastAsia="it-IT"/>
        </w:rPr>
        <w:br/>
        <w:t>Якщо виявлений рівень відхилень перевищує 1%, Аудитор розширює процедури перевірки до досягнення показника КПВ не менше 85%.</w:t>
      </w:r>
      <w:r w:rsidRPr="006B7225">
        <w:rPr>
          <w:sz w:val="22"/>
          <w:szCs w:val="22"/>
          <w:lang w:val="uk-UA" w:eastAsia="it-IT"/>
        </w:rPr>
        <w:br/>
        <w:t xml:space="preserve">Аудитор також забезпечує, щоб коефіцієнт КПВ за кожною статтею та </w:t>
      </w:r>
      <w:proofErr w:type="spellStart"/>
      <w:r w:rsidRPr="006B7225">
        <w:rPr>
          <w:sz w:val="22"/>
          <w:szCs w:val="22"/>
          <w:lang w:val="uk-UA" w:eastAsia="it-IT"/>
        </w:rPr>
        <w:t>підстаттею</w:t>
      </w:r>
      <w:proofErr w:type="spellEnd"/>
      <w:r w:rsidRPr="006B7225">
        <w:rPr>
          <w:sz w:val="22"/>
          <w:szCs w:val="22"/>
          <w:lang w:val="uk-UA" w:eastAsia="it-IT"/>
        </w:rPr>
        <w:t xml:space="preserve"> витрат у Фінансовому звіті становив не менше 10%.</w:t>
      </w:r>
    </w:p>
    <w:p w14:paraId="4ED6EC2B"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br/>
        <w:t>НТЧХУ відповідно вносить зміни до звіту про витрати.</w:t>
      </w:r>
    </w:p>
    <w:p w14:paraId="262F057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Звертаємо увагу, що Аудитор додає до звіту перелік неприйнятих первинних документів. Це також включає всі виявлені зауваження незалежно від їх рівня суттєвості.</w:t>
      </w:r>
    </w:p>
    <w:p w14:paraId="74F06F07"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rPr>
          <w:sz w:val="22"/>
          <w:szCs w:val="22"/>
          <w:lang w:eastAsia="it-IT"/>
        </w:rPr>
      </w:pPr>
    </w:p>
    <w:p w14:paraId="46E05B79"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360" w:after="80" w:line="259" w:lineRule="auto"/>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lastRenderedPageBreak/>
        <w:t>Робочий план</w:t>
      </w:r>
    </w:p>
    <w:p w14:paraId="28221B95"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rPr>
          <w:sz w:val="22"/>
          <w:szCs w:val="22"/>
          <w:lang w:val="en-GB" w:eastAsia="en-US"/>
        </w:rPr>
      </w:pPr>
    </w:p>
    <w:p w14:paraId="3F88E8D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Завдання з надання впевненості здійснюється в офісах партнерів</w:t>
      </w:r>
      <w:r w:rsidRPr="006B7225">
        <w:rPr>
          <w:sz w:val="22"/>
          <w:szCs w:val="22"/>
          <w:lang w:val="uk-UA" w:eastAsia="it-IT"/>
        </w:rPr>
        <w:noBreakHyphen/>
        <w:t>виконавців у м. Київ та включає перевірку банківських виписок, проєктних рахунків в обліковій системі, первинних і автентичних рахунків</w:t>
      </w:r>
      <w:r w:rsidRPr="006B7225">
        <w:rPr>
          <w:sz w:val="22"/>
          <w:szCs w:val="22"/>
          <w:lang w:val="uk-UA" w:eastAsia="it-IT"/>
        </w:rPr>
        <w:noBreakHyphen/>
        <w:t>фактур / квитанцій / платіжних документів, а також інших ключових доказів і документації, релевантних для виконання обсягу робіт, визначеного в пункті 7.</w:t>
      </w:r>
    </w:p>
    <w:p w14:paraId="02584A8F"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Завдання з надання впевненості здійснюється негайно після завершення закриття рахунків, що очікується в середині лютого 2027 року.</w:t>
      </w:r>
      <w:r w:rsidRPr="006B7225">
        <w:rPr>
          <w:sz w:val="22"/>
          <w:szCs w:val="22"/>
          <w:lang w:val="uk-UA" w:eastAsia="it-IT"/>
        </w:rPr>
        <w:br/>
        <w:t>У цьому зв’язку НТЧХУ як партнер</w:t>
      </w:r>
      <w:r w:rsidRPr="006B7225">
        <w:rPr>
          <w:sz w:val="22"/>
          <w:szCs w:val="22"/>
          <w:lang w:val="uk-UA" w:eastAsia="it-IT"/>
        </w:rPr>
        <w:noBreakHyphen/>
        <w:t>виконавець надає Аудитору всі необхідні дані, інформацію та документацію. Додаткові дані, інформація та документація, запитані Аудитором, надаються НТЧХУ, за винятком випадків, коли розкриття такої інформації заборонене обов’язковими нормами законодавства.</w:t>
      </w:r>
    </w:p>
    <w:p w14:paraId="1030FF02"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У будь</w:t>
      </w:r>
      <w:r w:rsidRPr="006B7225">
        <w:rPr>
          <w:sz w:val="22"/>
          <w:szCs w:val="22"/>
          <w:lang w:val="uk-UA" w:eastAsia="it-IT"/>
        </w:rPr>
        <w:noBreakHyphen/>
        <w:t>якому разі Аудитору підлягають розкриттю такі документи:</w:t>
      </w:r>
    </w:p>
    <w:p w14:paraId="42B3A5E7" w14:textId="459144EF" w:rsidR="00815CAA" w:rsidRPr="0090731F" w:rsidRDefault="00815CAA" w:rsidP="00815CAA">
      <w:pPr>
        <w:numPr>
          <w:ilvl w:val="0"/>
          <w:numId w:val="23"/>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90731F">
        <w:rPr>
          <w:sz w:val="22"/>
          <w:szCs w:val="22"/>
          <w:lang w:val="uk-UA" w:eastAsia="it-IT"/>
        </w:rPr>
        <w:t>ці Технічні завдання;</w:t>
      </w:r>
    </w:p>
    <w:p w14:paraId="00F065EA" w14:textId="77777777" w:rsidR="00815CAA" w:rsidRPr="006B7225" w:rsidRDefault="00815CAA" w:rsidP="00815CAA">
      <w:pPr>
        <w:numPr>
          <w:ilvl w:val="0"/>
          <w:numId w:val="23"/>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 xml:space="preserve">Партнерська угода (ПУ), укладена між </w:t>
      </w:r>
      <w:proofErr w:type="spellStart"/>
      <w:r w:rsidRPr="006B7225">
        <w:rPr>
          <w:sz w:val="22"/>
          <w:szCs w:val="22"/>
          <w:lang w:val="uk-UA" w:eastAsia="it-IT"/>
        </w:rPr>
        <w:t>АвстрЧХ</w:t>
      </w:r>
      <w:proofErr w:type="spellEnd"/>
      <w:r w:rsidRPr="006B7225">
        <w:rPr>
          <w:sz w:val="22"/>
          <w:szCs w:val="22"/>
          <w:lang w:val="uk-UA" w:eastAsia="it-IT"/>
        </w:rPr>
        <w:t xml:space="preserve"> та НТЧХУ;</w:t>
      </w:r>
    </w:p>
    <w:p w14:paraId="21827111" w14:textId="77777777" w:rsidR="00815CAA" w:rsidRPr="006B7225" w:rsidRDefault="00815CAA" w:rsidP="00815CAA">
      <w:pPr>
        <w:numPr>
          <w:ilvl w:val="0"/>
          <w:numId w:val="23"/>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зведені проєктні звіти щодо проєкту;</w:t>
      </w:r>
    </w:p>
    <w:p w14:paraId="24384F5A" w14:textId="77777777" w:rsidR="00815CAA" w:rsidRPr="006B7225" w:rsidRDefault="00815CAA" w:rsidP="00815CAA">
      <w:pPr>
        <w:numPr>
          <w:ilvl w:val="0"/>
          <w:numId w:val="23"/>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усі підтвердні документи, документація та докази, включно, але не обмежуючись: рахунками</w:t>
      </w:r>
      <w:r w:rsidRPr="006B7225">
        <w:rPr>
          <w:sz w:val="22"/>
          <w:szCs w:val="22"/>
          <w:lang w:val="uk-UA" w:eastAsia="it-IT"/>
        </w:rPr>
        <w:noBreakHyphen/>
        <w:t xml:space="preserve">фактурами, квитанціями, платіжними документами, банківськими виписками, проєктними регістрами, цільовими списками </w:t>
      </w:r>
      <w:proofErr w:type="spellStart"/>
      <w:r w:rsidRPr="006B7225">
        <w:rPr>
          <w:sz w:val="22"/>
          <w:szCs w:val="22"/>
          <w:lang w:val="uk-UA" w:eastAsia="it-IT"/>
        </w:rPr>
        <w:t>бенефіціарів</w:t>
      </w:r>
      <w:proofErr w:type="spellEnd"/>
      <w:r w:rsidRPr="006B7225">
        <w:rPr>
          <w:sz w:val="22"/>
          <w:szCs w:val="22"/>
          <w:lang w:val="uk-UA" w:eastAsia="it-IT"/>
        </w:rPr>
        <w:t>, видатковими накладними, списками розподілу, актами передачі, підтвердженнями приймання / отримання та будь</w:t>
      </w:r>
      <w:r w:rsidRPr="006B7225">
        <w:rPr>
          <w:sz w:val="22"/>
          <w:szCs w:val="22"/>
          <w:lang w:val="uk-UA" w:eastAsia="it-IT"/>
        </w:rPr>
        <w:noBreakHyphen/>
        <w:t>якою іншою релевантною інформацією (яка може бути запитана Аудитором).</w:t>
      </w:r>
    </w:p>
    <w:p w14:paraId="1F48FB30"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1004"/>
        <w:contextualSpacing/>
        <w:rPr>
          <w:sz w:val="22"/>
          <w:szCs w:val="22"/>
          <w:lang w:val="uk-UA" w:eastAsia="it-IT"/>
        </w:rPr>
      </w:pPr>
    </w:p>
    <w:p w14:paraId="4DD92735" w14:textId="77777777" w:rsidR="00815CAA" w:rsidRPr="006B7225" w:rsidRDefault="00815CAA" w:rsidP="00815CAA">
      <w:pPr>
        <w:keepNext/>
        <w:keepLines/>
        <w:numPr>
          <w:ilvl w:val="0"/>
          <w:numId w:val="19"/>
        </w:numPr>
        <w:tabs>
          <w:tab w:val="left" w:pos="1304"/>
          <w:tab w:val="left" w:pos="2608"/>
          <w:tab w:val="left" w:pos="3912"/>
          <w:tab w:val="left" w:pos="5216"/>
          <w:tab w:val="left" w:pos="6521"/>
          <w:tab w:val="left" w:pos="7825"/>
        </w:tabs>
        <w:autoSpaceDE w:val="0"/>
        <w:autoSpaceDN w:val="0"/>
        <w:spacing w:before="360" w:after="80" w:line="259" w:lineRule="auto"/>
        <w:outlineLvl w:val="0"/>
        <w:rPr>
          <w:rFonts w:eastAsia="MS Gothic"/>
          <w:color w:val="C00000"/>
          <w:kern w:val="2"/>
          <w:sz w:val="36"/>
          <w:szCs w:val="36"/>
          <w:lang w:val="en-GB" w:eastAsia="en-US"/>
          <w14:ligatures w14:val="standardContextual"/>
        </w:rPr>
      </w:pPr>
      <w:r w:rsidRPr="006B7225">
        <w:rPr>
          <w:rFonts w:eastAsia="MS Gothic"/>
          <w:color w:val="C00000"/>
          <w:kern w:val="2"/>
          <w:sz w:val="36"/>
          <w:szCs w:val="36"/>
          <w:lang w:val="uk-UA" w:eastAsia="en-US"/>
          <w14:ligatures w14:val="standardContextual"/>
        </w:rPr>
        <w:t>Звітування</w:t>
      </w:r>
    </w:p>
    <w:p w14:paraId="1EC1F861"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jc w:val="both"/>
        <w:rPr>
          <w:sz w:val="22"/>
          <w:szCs w:val="22"/>
          <w:lang w:val="en-GB" w:eastAsia="it-IT"/>
        </w:rPr>
      </w:pPr>
    </w:p>
    <w:p w14:paraId="12627469"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Аудитор підготує Звіт з надання впевненості не пізніше 31.03.2027, у якому має бути описано мету завдання, застосовані процедури перевірки, виявлені результати (за наявності) та висновок Аудитора. Звіт повинен щонайменше містити таку інформацію:</w:t>
      </w:r>
    </w:p>
    <w:p w14:paraId="6618AB72"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Адресат(и);</w:t>
      </w:r>
    </w:p>
    <w:p w14:paraId="5B76234E"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Номер і назву проєкту;</w:t>
      </w:r>
    </w:p>
    <w:p w14:paraId="5E3560F1"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Партнера</w:t>
      </w:r>
      <w:r w:rsidRPr="006B7225">
        <w:rPr>
          <w:sz w:val="22"/>
          <w:szCs w:val="22"/>
          <w:lang w:val="uk-UA" w:eastAsia="it-IT"/>
        </w:rPr>
        <w:noBreakHyphen/>
        <w:t>виконавця проєкту;</w:t>
      </w:r>
    </w:p>
    <w:p w14:paraId="40D4F630"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Короткий опис програми (компонентів) та партнера(</w:t>
      </w:r>
      <w:proofErr w:type="spellStart"/>
      <w:r w:rsidRPr="006B7225">
        <w:rPr>
          <w:sz w:val="22"/>
          <w:szCs w:val="22"/>
          <w:lang w:val="uk-UA" w:eastAsia="it-IT"/>
        </w:rPr>
        <w:t>ів</w:t>
      </w:r>
      <w:proofErr w:type="spellEnd"/>
      <w:r w:rsidRPr="006B7225">
        <w:rPr>
          <w:sz w:val="22"/>
          <w:szCs w:val="22"/>
          <w:lang w:val="uk-UA" w:eastAsia="it-IT"/>
        </w:rPr>
        <w:t>) проєкту, включно з цілями, очікуваними результатами, застосованою методологією та заходами, організацією проєкту і графіком його реалізації;</w:t>
      </w:r>
    </w:p>
    <w:p w14:paraId="44F553D9"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Період, охоплений звітом;</w:t>
      </w:r>
    </w:p>
    <w:p w14:paraId="129E7F75"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Валюту звітування — євро;</w:t>
      </w:r>
    </w:p>
    <w:p w14:paraId="658C53E3"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Загальну суму запланованих доходів (за наявності) та витрат у валюті звітування;</w:t>
      </w:r>
    </w:p>
    <w:p w14:paraId="537B27FF"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Загальну суму фактичних доходів (за наявності) та витрат, включно з переліком усіх окремих надходжень;</w:t>
      </w:r>
    </w:p>
    <w:p w14:paraId="36BA3721"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Повний перелік переказаних проєктних коштів із зазначенням донорів, дат та застосованих валютних курсів;</w:t>
      </w:r>
    </w:p>
    <w:p w14:paraId="20E1D07F"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 xml:space="preserve">Заключний залишок коштів (включно з готівковими коштами, банківськими залишками та іншими активами, наприклад авансовими </w:t>
      </w:r>
      <w:proofErr w:type="spellStart"/>
      <w:r w:rsidRPr="006B7225">
        <w:rPr>
          <w:sz w:val="22"/>
          <w:szCs w:val="22"/>
          <w:lang w:val="uk-UA" w:eastAsia="it-IT"/>
        </w:rPr>
        <w:t>платежами</w:t>
      </w:r>
      <w:proofErr w:type="spellEnd"/>
      <w:r w:rsidRPr="006B7225">
        <w:rPr>
          <w:sz w:val="22"/>
          <w:szCs w:val="22"/>
          <w:lang w:val="uk-UA" w:eastAsia="it-IT"/>
        </w:rPr>
        <w:t xml:space="preserve"> та неоплаченими чеками);</w:t>
      </w:r>
    </w:p>
    <w:p w14:paraId="12085402"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Загальну суму фактичних витрат, які були перевірені;</w:t>
      </w:r>
    </w:p>
    <w:p w14:paraId="648B8938"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Цілі, обсяг та опис застосованих процедур;</w:t>
      </w:r>
    </w:p>
    <w:p w14:paraId="581C27E6"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Перелік виявлених зауважень;</w:t>
      </w:r>
    </w:p>
    <w:p w14:paraId="4B337460"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Рекомендації та/або інформацію щодо виконання попередніх рекомендацій (за наявності);</w:t>
      </w:r>
    </w:p>
    <w:p w14:paraId="10046E34"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Інші релевантні питання;</w:t>
      </w:r>
    </w:p>
    <w:p w14:paraId="150486E0"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Заяву про те, що всі первинні платіжні документи були анульовані шляхом проставлення відповідного штампа;</w:t>
      </w:r>
    </w:p>
    <w:p w14:paraId="69B70BE0"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Висновок Аудитора з наданням достатньої впевненості;</w:t>
      </w:r>
    </w:p>
    <w:p w14:paraId="2E4F7BAC"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Дату складання звіту;</w:t>
      </w:r>
    </w:p>
    <w:p w14:paraId="3A485385" w14:textId="77777777" w:rsidR="00815CAA" w:rsidRPr="006B7225" w:rsidRDefault="00815CAA" w:rsidP="00815CAA">
      <w:pPr>
        <w:numPr>
          <w:ilvl w:val="0"/>
          <w:numId w:val="24"/>
        </w:numPr>
        <w:tabs>
          <w:tab w:val="left" w:pos="1304"/>
          <w:tab w:val="left" w:pos="2608"/>
          <w:tab w:val="left" w:pos="3912"/>
          <w:tab w:val="left" w:pos="5216"/>
          <w:tab w:val="left" w:pos="6521"/>
          <w:tab w:val="left" w:pos="7825"/>
        </w:tabs>
        <w:autoSpaceDE w:val="0"/>
        <w:autoSpaceDN w:val="0"/>
        <w:rPr>
          <w:sz w:val="22"/>
          <w:szCs w:val="22"/>
          <w:lang w:val="uk-UA" w:eastAsia="it-IT"/>
        </w:rPr>
      </w:pPr>
      <w:r w:rsidRPr="006B7225">
        <w:rPr>
          <w:sz w:val="22"/>
          <w:szCs w:val="22"/>
          <w:lang w:val="uk-UA" w:eastAsia="it-IT"/>
        </w:rPr>
        <w:t>Адресу Аудитора, контактні дані, підпис та підтвердження повноважень (наприклад, штамп компанії або використання офіційного бланка компанії).</w:t>
      </w:r>
    </w:p>
    <w:p w14:paraId="03B8ED96"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687F45EB"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r w:rsidRPr="006B7225">
        <w:rPr>
          <w:sz w:val="22"/>
          <w:szCs w:val="22"/>
          <w:lang w:val="uk-UA" w:eastAsia="it-IT"/>
        </w:rPr>
        <w:t>Звіт також повинен містити такі додатки:</w:t>
      </w:r>
    </w:p>
    <w:p w14:paraId="75AA2B93"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lastRenderedPageBreak/>
        <w:t>Фінансовий звіт: загальний розрахунок із порівнянням фактичних витрат та затвердженого бюджету, засвідчений офіційним підписом (штамп і підпис) партнера</w:t>
      </w:r>
      <w:r w:rsidRPr="006B7225">
        <w:rPr>
          <w:sz w:val="22"/>
          <w:szCs w:val="22"/>
          <w:lang w:val="uk-UA" w:eastAsia="it-IT"/>
        </w:rPr>
        <w:noBreakHyphen/>
        <w:t>виконавця та офіційним підписом (штамп і підпис) Аудитора;</w:t>
      </w:r>
    </w:p>
    <w:p w14:paraId="1C569320"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звіт про рух грошових коштів проєкту;</w:t>
      </w:r>
    </w:p>
    <w:p w14:paraId="4056FBAE"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заява про повноту інформації (лист</w:t>
      </w:r>
      <w:r w:rsidRPr="006B7225">
        <w:rPr>
          <w:sz w:val="22"/>
          <w:szCs w:val="22"/>
          <w:lang w:val="uk-UA" w:eastAsia="it-IT"/>
        </w:rPr>
        <w:noBreakHyphen/>
        <w:t>підтвердження;</w:t>
      </w:r>
    </w:p>
    <w:p w14:paraId="64021FDF"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детальний перелік первинних документів, класифікований за відповідними бюджетними лініями;</w:t>
      </w:r>
      <w:r w:rsidRPr="006B7225">
        <w:rPr>
          <w:sz w:val="22"/>
          <w:szCs w:val="22"/>
          <w:lang w:val="uk-UA" w:eastAsia="it-IT"/>
        </w:rPr>
        <w:br/>
        <w:t>виписки з банківських рахунків;</w:t>
      </w:r>
    </w:p>
    <w:p w14:paraId="408D89CD"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перелік рахунків до сплати, за наявності;</w:t>
      </w:r>
    </w:p>
    <w:p w14:paraId="10EC4482"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перелік довідкових документів (ключові документи та джерела даних, використані під час застосування процедур);</w:t>
      </w:r>
    </w:p>
    <w:p w14:paraId="530CEA32"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перелік ключових запитуваних документів, які не були надані або не могли бути надані, із зазначенням причин;</w:t>
      </w:r>
    </w:p>
    <w:p w14:paraId="31815822"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коментований перелік неприйнятих первинних документів;</w:t>
      </w:r>
    </w:p>
    <w:p w14:paraId="4A1ECD45"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у разі виявлення винятків — перелік відповідних первинних документів із описом кожного винятку;</w:t>
      </w:r>
      <w:r w:rsidRPr="006B7225">
        <w:rPr>
          <w:sz w:val="22"/>
          <w:szCs w:val="22"/>
          <w:lang w:val="uk-UA" w:eastAsia="it-IT"/>
        </w:rPr>
        <w:br/>
        <w:t>перелік активів (основні засоби / обладнання), придбаних у межах проєкту, вартістю понад 1 000,00 євро (</w:t>
      </w:r>
      <w:proofErr w:type="spellStart"/>
      <w:r w:rsidRPr="006B7225">
        <w:rPr>
          <w:sz w:val="22"/>
          <w:szCs w:val="22"/>
          <w:lang w:val="uk-UA" w:eastAsia="it-IT"/>
        </w:rPr>
        <w:t>нетто</w:t>
      </w:r>
      <w:proofErr w:type="spellEnd"/>
      <w:r w:rsidRPr="006B7225">
        <w:rPr>
          <w:sz w:val="22"/>
          <w:szCs w:val="22"/>
          <w:lang w:val="uk-UA" w:eastAsia="it-IT"/>
        </w:rPr>
        <w:t xml:space="preserve">); </w:t>
      </w:r>
    </w:p>
    <w:p w14:paraId="1AB59D65"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перелік договорів на надання послуг / закупівлю, укладених протягом звітного періоду, вартістю понад 1 000,00 євро (</w:t>
      </w:r>
      <w:proofErr w:type="spellStart"/>
      <w:r w:rsidRPr="006B7225">
        <w:rPr>
          <w:sz w:val="22"/>
          <w:szCs w:val="22"/>
          <w:lang w:val="uk-UA" w:eastAsia="it-IT"/>
        </w:rPr>
        <w:t>нетто</w:t>
      </w:r>
      <w:proofErr w:type="spellEnd"/>
      <w:r w:rsidRPr="006B7225">
        <w:rPr>
          <w:sz w:val="22"/>
          <w:szCs w:val="22"/>
          <w:lang w:val="uk-UA" w:eastAsia="it-IT"/>
        </w:rPr>
        <w:t>);</w:t>
      </w:r>
    </w:p>
    <w:p w14:paraId="4463F08D" w14:textId="77777777" w:rsidR="00815CAA" w:rsidRPr="006B7225" w:rsidRDefault="00815CAA" w:rsidP="00815CAA">
      <w:pPr>
        <w:numPr>
          <w:ilvl w:val="0"/>
          <w:numId w:val="25"/>
        </w:numPr>
        <w:tabs>
          <w:tab w:val="left" w:pos="1304"/>
          <w:tab w:val="left" w:pos="2608"/>
          <w:tab w:val="left" w:pos="3912"/>
          <w:tab w:val="left" w:pos="5216"/>
          <w:tab w:val="left" w:pos="6521"/>
          <w:tab w:val="left" w:pos="7825"/>
        </w:tabs>
        <w:autoSpaceDE w:val="0"/>
        <w:autoSpaceDN w:val="0"/>
        <w:contextualSpacing/>
        <w:rPr>
          <w:sz w:val="22"/>
          <w:szCs w:val="22"/>
          <w:lang w:val="uk-UA" w:eastAsia="it-IT"/>
        </w:rPr>
      </w:pPr>
      <w:r w:rsidRPr="006B7225">
        <w:rPr>
          <w:sz w:val="22"/>
          <w:szCs w:val="22"/>
          <w:lang w:val="uk-UA" w:eastAsia="it-IT"/>
        </w:rPr>
        <w:t>перелік грантових договорів, укладених протягом звітних періодів, за наявності.</w:t>
      </w:r>
    </w:p>
    <w:p w14:paraId="4910284A" w14:textId="77777777" w:rsidR="00815CAA" w:rsidRPr="006B7225" w:rsidRDefault="00815CAA" w:rsidP="00815CAA">
      <w:pPr>
        <w:tabs>
          <w:tab w:val="left" w:pos="1304"/>
          <w:tab w:val="left" w:pos="2608"/>
          <w:tab w:val="left" w:pos="3912"/>
          <w:tab w:val="left" w:pos="5216"/>
          <w:tab w:val="left" w:pos="6521"/>
          <w:tab w:val="left" w:pos="7825"/>
        </w:tabs>
        <w:autoSpaceDE w:val="0"/>
        <w:autoSpaceDN w:val="0"/>
        <w:ind w:left="284"/>
        <w:rPr>
          <w:sz w:val="22"/>
          <w:szCs w:val="22"/>
          <w:lang w:val="uk-UA" w:eastAsia="it-IT"/>
        </w:rPr>
      </w:pPr>
    </w:p>
    <w:p w14:paraId="0BE67B46" w14:textId="77777777" w:rsidR="00815CAA" w:rsidRPr="004973D6" w:rsidRDefault="00815CAA" w:rsidP="00815CAA">
      <w:pPr>
        <w:tabs>
          <w:tab w:val="left" w:pos="1304"/>
          <w:tab w:val="left" w:pos="2608"/>
          <w:tab w:val="left" w:pos="3912"/>
          <w:tab w:val="left" w:pos="5216"/>
          <w:tab w:val="left" w:pos="6521"/>
          <w:tab w:val="left" w:pos="7825"/>
        </w:tabs>
        <w:autoSpaceDE w:val="0"/>
        <w:autoSpaceDN w:val="0"/>
        <w:ind w:left="284"/>
        <w:rPr>
          <w:b/>
          <w:bCs/>
          <w:sz w:val="22"/>
          <w:szCs w:val="22"/>
          <w:lang w:val="uk-UA" w:eastAsia="it-IT"/>
        </w:rPr>
      </w:pPr>
      <w:r w:rsidRPr="004973D6">
        <w:rPr>
          <w:b/>
          <w:bCs/>
          <w:sz w:val="22"/>
          <w:szCs w:val="22"/>
          <w:lang w:val="uk-UA" w:eastAsia="it-IT"/>
        </w:rPr>
        <w:t>Звіт подається англійською та українською мовами. Вимагається надання двох оригінальних паперових примірників звіту кожною мовою, а також їх версії у форматі PDF.</w:t>
      </w:r>
    </w:p>
    <w:p w14:paraId="2413DE7C" w14:textId="77777777" w:rsidR="00815CAA" w:rsidRPr="004973D6" w:rsidRDefault="00815CAA" w:rsidP="00815CAA">
      <w:pPr>
        <w:pStyle w:val="paragraph"/>
        <w:spacing w:before="0" w:beforeAutospacing="0" w:after="0" w:afterAutospacing="0"/>
        <w:jc w:val="both"/>
        <w:textAlignment w:val="baseline"/>
        <w:rPr>
          <w:rStyle w:val="eop"/>
          <w:b/>
          <w:bCs/>
          <w:color w:val="000000"/>
          <w:lang w:val="uk-UA"/>
        </w:rPr>
      </w:pPr>
    </w:p>
    <w:p w14:paraId="7157D803" w14:textId="77777777" w:rsidR="00406D11" w:rsidRDefault="00406D11" w:rsidP="00992F46">
      <w:pPr>
        <w:jc w:val="right"/>
        <w:rPr>
          <w:b/>
          <w:spacing w:val="-4"/>
          <w:sz w:val="22"/>
          <w:szCs w:val="22"/>
          <w:lang w:val="uk-UA"/>
        </w:rPr>
      </w:pPr>
    </w:p>
    <w:p w14:paraId="6C780545" w14:textId="77777777" w:rsidR="00406D11" w:rsidRDefault="00406D11" w:rsidP="00992F46">
      <w:pPr>
        <w:jc w:val="right"/>
        <w:rPr>
          <w:b/>
          <w:spacing w:val="-4"/>
          <w:sz w:val="22"/>
          <w:szCs w:val="22"/>
          <w:lang w:val="uk-UA"/>
        </w:rPr>
      </w:pPr>
    </w:p>
    <w:p w14:paraId="6791719B" w14:textId="77777777" w:rsidR="00406D11" w:rsidRDefault="00406D11" w:rsidP="00992F46">
      <w:pPr>
        <w:jc w:val="right"/>
        <w:rPr>
          <w:b/>
          <w:spacing w:val="-4"/>
          <w:sz w:val="22"/>
          <w:szCs w:val="22"/>
          <w:lang w:val="uk-UA"/>
        </w:rPr>
      </w:pPr>
    </w:p>
    <w:p w14:paraId="1A28ABF7" w14:textId="77777777" w:rsidR="006B7225" w:rsidRDefault="006B7225" w:rsidP="006B7225">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2559D34A" w14:textId="77777777" w:rsidR="006B7225" w:rsidRDefault="006B7225" w:rsidP="006B7225">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55CF7D6E" w14:textId="77777777" w:rsidR="00406D11" w:rsidRDefault="00406D11" w:rsidP="00992F46">
      <w:pPr>
        <w:jc w:val="right"/>
        <w:rPr>
          <w:b/>
          <w:spacing w:val="-4"/>
          <w:sz w:val="22"/>
          <w:szCs w:val="22"/>
          <w:lang w:val="uk-UA"/>
        </w:rPr>
      </w:pPr>
    </w:p>
    <w:p w14:paraId="669CBD4C" w14:textId="77777777" w:rsidR="006B7225" w:rsidRDefault="006B7225" w:rsidP="00992F46">
      <w:pPr>
        <w:jc w:val="right"/>
        <w:rPr>
          <w:b/>
          <w:spacing w:val="-4"/>
          <w:sz w:val="22"/>
          <w:szCs w:val="22"/>
          <w:lang w:val="uk-UA"/>
        </w:rPr>
      </w:pPr>
    </w:p>
    <w:p w14:paraId="59EC606B" w14:textId="77777777" w:rsidR="006B7225" w:rsidRDefault="006B7225" w:rsidP="00992F46">
      <w:pPr>
        <w:jc w:val="right"/>
        <w:rPr>
          <w:b/>
          <w:spacing w:val="-4"/>
          <w:sz w:val="22"/>
          <w:szCs w:val="22"/>
          <w:lang w:val="uk-UA"/>
        </w:rPr>
      </w:pPr>
    </w:p>
    <w:p w14:paraId="7EC00E39" w14:textId="77777777" w:rsidR="006B7225" w:rsidRDefault="006B7225" w:rsidP="00992F46">
      <w:pPr>
        <w:jc w:val="right"/>
        <w:rPr>
          <w:b/>
          <w:spacing w:val="-4"/>
          <w:sz w:val="22"/>
          <w:szCs w:val="22"/>
          <w:lang w:val="uk-UA"/>
        </w:rPr>
      </w:pPr>
    </w:p>
    <w:p w14:paraId="627260EA" w14:textId="77777777" w:rsidR="006B7225" w:rsidRDefault="006B7225" w:rsidP="00992F46">
      <w:pPr>
        <w:jc w:val="right"/>
        <w:rPr>
          <w:b/>
          <w:spacing w:val="-4"/>
          <w:sz w:val="22"/>
          <w:szCs w:val="22"/>
          <w:lang w:val="uk-UA"/>
        </w:rPr>
      </w:pPr>
    </w:p>
    <w:p w14:paraId="773ABEC4" w14:textId="77777777" w:rsidR="006B7225" w:rsidRDefault="006B7225" w:rsidP="00992F46">
      <w:pPr>
        <w:jc w:val="right"/>
        <w:rPr>
          <w:b/>
          <w:spacing w:val="-4"/>
          <w:sz w:val="22"/>
          <w:szCs w:val="22"/>
          <w:lang w:val="uk-UA"/>
        </w:rPr>
      </w:pPr>
    </w:p>
    <w:p w14:paraId="7EC4122F" w14:textId="77777777" w:rsidR="006B7225" w:rsidRDefault="006B7225" w:rsidP="00992F46">
      <w:pPr>
        <w:jc w:val="right"/>
        <w:rPr>
          <w:b/>
          <w:spacing w:val="-4"/>
          <w:sz w:val="22"/>
          <w:szCs w:val="22"/>
          <w:lang w:val="uk-UA"/>
        </w:rPr>
      </w:pPr>
    </w:p>
    <w:p w14:paraId="24571E6F" w14:textId="77777777" w:rsidR="006B7225" w:rsidRDefault="006B7225" w:rsidP="00992F46">
      <w:pPr>
        <w:jc w:val="right"/>
        <w:rPr>
          <w:b/>
          <w:spacing w:val="-4"/>
          <w:sz w:val="22"/>
          <w:szCs w:val="22"/>
          <w:lang w:val="uk-UA"/>
        </w:rPr>
      </w:pPr>
    </w:p>
    <w:p w14:paraId="0C8207B0" w14:textId="77777777" w:rsidR="006B7225" w:rsidRDefault="006B7225" w:rsidP="00992F46">
      <w:pPr>
        <w:jc w:val="right"/>
        <w:rPr>
          <w:b/>
          <w:spacing w:val="-4"/>
          <w:sz w:val="22"/>
          <w:szCs w:val="22"/>
          <w:lang w:val="uk-UA"/>
        </w:rPr>
      </w:pPr>
    </w:p>
    <w:p w14:paraId="522ED9FA" w14:textId="77777777" w:rsidR="006B7225" w:rsidRDefault="006B7225" w:rsidP="00992F46">
      <w:pPr>
        <w:jc w:val="right"/>
        <w:rPr>
          <w:b/>
          <w:spacing w:val="-4"/>
          <w:sz w:val="22"/>
          <w:szCs w:val="22"/>
          <w:lang w:val="uk-UA"/>
        </w:rPr>
      </w:pPr>
    </w:p>
    <w:p w14:paraId="79AF0607" w14:textId="77777777" w:rsidR="006B7225" w:rsidRDefault="006B7225" w:rsidP="00992F46">
      <w:pPr>
        <w:jc w:val="right"/>
        <w:rPr>
          <w:b/>
          <w:spacing w:val="-4"/>
          <w:sz w:val="22"/>
          <w:szCs w:val="22"/>
          <w:lang w:val="uk-UA"/>
        </w:rPr>
      </w:pPr>
    </w:p>
    <w:p w14:paraId="3EFCD91F" w14:textId="77777777" w:rsidR="006B7225" w:rsidRDefault="006B7225" w:rsidP="00992F46">
      <w:pPr>
        <w:jc w:val="right"/>
        <w:rPr>
          <w:b/>
          <w:spacing w:val="-4"/>
          <w:sz w:val="22"/>
          <w:szCs w:val="22"/>
          <w:lang w:val="uk-UA"/>
        </w:rPr>
      </w:pPr>
    </w:p>
    <w:p w14:paraId="0DBCC0C1" w14:textId="77777777" w:rsidR="006B7225" w:rsidRDefault="006B7225" w:rsidP="00992F46">
      <w:pPr>
        <w:jc w:val="right"/>
        <w:rPr>
          <w:b/>
          <w:spacing w:val="-4"/>
          <w:sz w:val="22"/>
          <w:szCs w:val="22"/>
          <w:lang w:val="uk-UA"/>
        </w:rPr>
      </w:pPr>
    </w:p>
    <w:p w14:paraId="0B3C051B" w14:textId="77777777" w:rsidR="006B7225" w:rsidRDefault="006B7225" w:rsidP="00992F46">
      <w:pPr>
        <w:jc w:val="right"/>
        <w:rPr>
          <w:b/>
          <w:spacing w:val="-4"/>
          <w:sz w:val="22"/>
          <w:szCs w:val="22"/>
          <w:lang w:val="uk-UA"/>
        </w:rPr>
      </w:pPr>
    </w:p>
    <w:p w14:paraId="20EE784B" w14:textId="77777777" w:rsidR="00406D11" w:rsidRDefault="00406D11" w:rsidP="00992F46">
      <w:pPr>
        <w:jc w:val="right"/>
        <w:rPr>
          <w:b/>
          <w:spacing w:val="-4"/>
          <w:sz w:val="22"/>
          <w:szCs w:val="22"/>
          <w:lang w:val="uk-UA"/>
        </w:rPr>
      </w:pPr>
    </w:p>
    <w:p w14:paraId="76A760D4" w14:textId="77777777" w:rsidR="00406D11" w:rsidRDefault="00406D11" w:rsidP="00992F46">
      <w:pPr>
        <w:jc w:val="right"/>
        <w:rPr>
          <w:b/>
          <w:spacing w:val="-4"/>
          <w:sz w:val="22"/>
          <w:szCs w:val="22"/>
          <w:lang w:val="uk-UA"/>
        </w:rPr>
      </w:pPr>
    </w:p>
    <w:p w14:paraId="77888DA0" w14:textId="77777777" w:rsidR="00406D11" w:rsidRDefault="00406D11" w:rsidP="00992F46">
      <w:pPr>
        <w:jc w:val="right"/>
        <w:rPr>
          <w:b/>
          <w:spacing w:val="-4"/>
          <w:sz w:val="22"/>
          <w:szCs w:val="22"/>
          <w:lang w:val="uk-UA"/>
        </w:rPr>
      </w:pPr>
    </w:p>
    <w:p w14:paraId="52FF4329" w14:textId="77777777" w:rsidR="00406D11" w:rsidRDefault="00406D11" w:rsidP="00992F46">
      <w:pPr>
        <w:jc w:val="right"/>
        <w:rPr>
          <w:b/>
          <w:spacing w:val="-4"/>
          <w:sz w:val="22"/>
          <w:szCs w:val="22"/>
          <w:lang w:val="uk-UA"/>
        </w:rPr>
      </w:pPr>
    </w:p>
    <w:p w14:paraId="5EA2FF19" w14:textId="77777777" w:rsidR="00406D11" w:rsidRDefault="00406D11" w:rsidP="00992F46">
      <w:pPr>
        <w:jc w:val="right"/>
        <w:rPr>
          <w:b/>
          <w:spacing w:val="-4"/>
          <w:sz w:val="22"/>
          <w:szCs w:val="22"/>
          <w:lang w:val="uk-UA"/>
        </w:rPr>
      </w:pPr>
    </w:p>
    <w:p w14:paraId="4C917812" w14:textId="77777777" w:rsidR="00406D11" w:rsidRDefault="00406D11" w:rsidP="00992F46">
      <w:pPr>
        <w:jc w:val="right"/>
        <w:rPr>
          <w:b/>
          <w:spacing w:val="-4"/>
          <w:sz w:val="22"/>
          <w:szCs w:val="22"/>
          <w:lang w:val="uk-UA"/>
        </w:rPr>
      </w:pPr>
    </w:p>
    <w:p w14:paraId="48C32125" w14:textId="77777777" w:rsidR="00406D11" w:rsidRDefault="00406D11" w:rsidP="00992F46">
      <w:pPr>
        <w:jc w:val="right"/>
        <w:rPr>
          <w:b/>
          <w:spacing w:val="-4"/>
          <w:sz w:val="22"/>
          <w:szCs w:val="22"/>
          <w:lang w:val="uk-UA"/>
        </w:rPr>
      </w:pPr>
    </w:p>
    <w:p w14:paraId="7C1C8CE7" w14:textId="77777777" w:rsidR="00406D11" w:rsidRDefault="00406D11" w:rsidP="00992F46">
      <w:pPr>
        <w:jc w:val="right"/>
        <w:rPr>
          <w:b/>
          <w:spacing w:val="-4"/>
          <w:sz w:val="22"/>
          <w:szCs w:val="22"/>
          <w:lang w:val="uk-UA"/>
        </w:rPr>
      </w:pPr>
    </w:p>
    <w:p w14:paraId="3028E668" w14:textId="77777777" w:rsidR="00355247" w:rsidRDefault="00355247" w:rsidP="00992F46">
      <w:pPr>
        <w:jc w:val="right"/>
        <w:rPr>
          <w:b/>
          <w:spacing w:val="-4"/>
          <w:sz w:val="22"/>
          <w:szCs w:val="22"/>
          <w:lang w:val="uk-UA"/>
        </w:rPr>
      </w:pPr>
    </w:p>
    <w:p w14:paraId="47849DF4" w14:textId="77777777" w:rsidR="00355247" w:rsidRDefault="00355247" w:rsidP="00992F46">
      <w:pPr>
        <w:jc w:val="right"/>
        <w:rPr>
          <w:b/>
          <w:spacing w:val="-4"/>
          <w:sz w:val="22"/>
          <w:szCs w:val="22"/>
          <w:lang w:val="uk-UA"/>
        </w:rPr>
      </w:pPr>
    </w:p>
    <w:p w14:paraId="0428108A" w14:textId="77777777" w:rsidR="00406D11" w:rsidRDefault="00406D11" w:rsidP="00992F46">
      <w:pPr>
        <w:jc w:val="right"/>
        <w:rPr>
          <w:b/>
          <w:spacing w:val="-4"/>
          <w:sz w:val="22"/>
          <w:szCs w:val="22"/>
          <w:lang w:val="uk-UA"/>
        </w:rPr>
      </w:pPr>
    </w:p>
    <w:p w14:paraId="4262939A" w14:textId="77777777" w:rsidR="00A8040D" w:rsidRDefault="00A8040D">
      <w:pPr>
        <w:rPr>
          <w:b/>
          <w:spacing w:val="-4"/>
          <w:lang w:val="uk-UA"/>
        </w:rPr>
      </w:pPr>
      <w:r>
        <w:rPr>
          <w:b/>
          <w:spacing w:val="-4"/>
          <w:lang w:val="uk-UA"/>
        </w:rPr>
        <w:br w:type="page"/>
      </w:r>
    </w:p>
    <w:p w14:paraId="5030B1D9" w14:textId="0D1A3B53" w:rsidR="00331B16" w:rsidRDefault="00331B16" w:rsidP="00331B16">
      <w:pPr>
        <w:jc w:val="right"/>
        <w:rPr>
          <w:b/>
          <w:spacing w:val="-4"/>
          <w:lang w:val="uk-UA"/>
        </w:rPr>
      </w:pPr>
      <w:r w:rsidRPr="00930D5B">
        <w:rPr>
          <w:b/>
          <w:spacing w:val="-4"/>
          <w:lang w:val="uk-UA"/>
        </w:rPr>
        <w:lastRenderedPageBreak/>
        <w:t>Додаток №</w:t>
      </w:r>
      <w:r>
        <w:rPr>
          <w:b/>
          <w:spacing w:val="-4"/>
          <w:lang w:val="uk-UA"/>
        </w:rPr>
        <w:t>2</w:t>
      </w:r>
      <w:r w:rsidRPr="00930D5B">
        <w:rPr>
          <w:b/>
          <w:spacing w:val="-4"/>
          <w:lang w:val="uk-UA"/>
        </w:rPr>
        <w:t xml:space="preserve"> </w:t>
      </w:r>
    </w:p>
    <w:p w14:paraId="33816D3D" w14:textId="7723B3C3" w:rsidR="00406D11" w:rsidRDefault="00331B16" w:rsidP="00331B16">
      <w:pPr>
        <w:jc w:val="right"/>
        <w:rPr>
          <w:b/>
          <w:spacing w:val="-4"/>
          <w:sz w:val="22"/>
          <w:szCs w:val="22"/>
          <w:lang w:val="uk-UA"/>
        </w:rPr>
      </w:pPr>
      <w:r w:rsidRPr="00930D5B">
        <w:rPr>
          <w:b/>
          <w:spacing w:val="-4"/>
          <w:lang w:val="uk-UA"/>
        </w:rPr>
        <w:t>до Запиту</w:t>
      </w:r>
    </w:p>
    <w:p w14:paraId="1255F043" w14:textId="7BBF3FE5"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355247" w:rsidRPr="00446C24">
        <w:rPr>
          <w:sz w:val="22"/>
          <w:szCs w:val="22"/>
          <w:lang w:val="uk-UA"/>
        </w:rPr>
        <w:t>послуг з аудиту проєкту «</w:t>
      </w:r>
      <w:r w:rsidR="00355247" w:rsidRPr="000E18DC">
        <w:rPr>
          <w:sz w:val="22"/>
          <w:szCs w:val="22"/>
          <w:lang w:val="uk-UA"/>
        </w:rPr>
        <w:t>Залучення до охорони здоров'я та надання допомоги, включаючи довгострокову трансформацію та гуманітарну підтримку</w:t>
      </w:r>
      <w:r w:rsidR="00355247" w:rsidRPr="002F6524">
        <w:rPr>
          <w:sz w:val="22"/>
          <w:szCs w:val="22"/>
          <w:lang w:val="uk-UA"/>
        </w:rPr>
        <w:t xml:space="preserve">», </w:t>
      </w:r>
      <w:r w:rsidR="00355247" w:rsidRPr="002F6524">
        <w:rPr>
          <w:lang w:val="uk-UA"/>
        </w:rPr>
        <w:t>що здійснюється за підтримки</w:t>
      </w:r>
      <w:r w:rsidR="00355247" w:rsidRPr="002F6524">
        <w:rPr>
          <w:sz w:val="22"/>
          <w:szCs w:val="22"/>
          <w:lang w:val="uk-UA"/>
        </w:rPr>
        <w:t xml:space="preserve"> Австрійського Червоного Хреста (АЧХ).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5635"/>
        <w:gridCol w:w="1843"/>
        <w:gridCol w:w="2432"/>
      </w:tblGrid>
      <w:tr w:rsidR="00124073" w14:paraId="218190A8" w14:textId="77777777" w:rsidTr="00E660E0">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124073" w:rsidRDefault="0012407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5635" w:type="dxa"/>
            <w:tcBorders>
              <w:top w:val="single" w:sz="6" w:space="0" w:color="000000"/>
              <w:left w:val="single" w:sz="6" w:space="0" w:color="000000"/>
              <w:right w:val="single" w:sz="6" w:space="0" w:color="auto"/>
            </w:tcBorders>
            <w:vAlign w:val="center"/>
            <w:hideMark/>
          </w:tcPr>
          <w:p w14:paraId="37CBED5E" w14:textId="797C234E" w:rsidR="00124073" w:rsidRDefault="0012407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1843" w:type="dxa"/>
            <w:tcBorders>
              <w:top w:val="single" w:sz="6" w:space="0" w:color="000000"/>
              <w:left w:val="single" w:sz="6" w:space="0" w:color="auto"/>
              <w:bottom w:val="nil"/>
              <w:right w:val="single" w:sz="6" w:space="0" w:color="auto"/>
            </w:tcBorders>
            <w:vAlign w:val="center"/>
            <w:hideMark/>
          </w:tcPr>
          <w:p w14:paraId="255E070B" w14:textId="77777777" w:rsidR="00124073" w:rsidRDefault="0012407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432" w:type="dxa"/>
            <w:tcBorders>
              <w:top w:val="single" w:sz="6" w:space="0" w:color="000000"/>
              <w:left w:val="single" w:sz="6" w:space="0" w:color="auto"/>
              <w:bottom w:val="nil"/>
              <w:right w:val="single" w:sz="6" w:space="0" w:color="auto"/>
            </w:tcBorders>
            <w:vAlign w:val="center"/>
            <w:hideMark/>
          </w:tcPr>
          <w:p w14:paraId="76CFEB44" w14:textId="411FC772" w:rsidR="00124073" w:rsidRPr="00124073" w:rsidRDefault="00124073" w:rsidP="00F05364">
            <w:pPr>
              <w:pStyle w:val="paragraph"/>
              <w:spacing w:before="0" w:beforeAutospacing="0" w:after="0" w:afterAutospacing="0"/>
              <w:jc w:val="center"/>
              <w:textAlignment w:val="baseline"/>
              <w:rPr>
                <w:sz w:val="22"/>
                <w:szCs w:val="22"/>
                <w:lang w:val="uk-UA"/>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124073" w14:paraId="7717A048" w14:textId="77777777" w:rsidTr="00E660E0">
        <w:trPr>
          <w:trHeight w:val="911"/>
        </w:trPr>
        <w:tc>
          <w:tcPr>
            <w:tcW w:w="311" w:type="dxa"/>
            <w:tcBorders>
              <w:top w:val="single" w:sz="6" w:space="0" w:color="auto"/>
              <w:left w:val="single" w:sz="6" w:space="0" w:color="000000"/>
              <w:right w:val="single" w:sz="6" w:space="0" w:color="000000"/>
            </w:tcBorders>
            <w:vAlign w:val="center"/>
            <w:hideMark/>
          </w:tcPr>
          <w:p w14:paraId="3B7DC9B5" w14:textId="77777777" w:rsidR="00124073" w:rsidRDefault="00124073"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5635" w:type="dxa"/>
            <w:tcBorders>
              <w:top w:val="single" w:sz="6" w:space="0" w:color="auto"/>
              <w:left w:val="single" w:sz="6" w:space="0" w:color="000000"/>
              <w:right w:val="single" w:sz="6" w:space="0" w:color="auto"/>
            </w:tcBorders>
            <w:vAlign w:val="center"/>
            <w:hideMark/>
          </w:tcPr>
          <w:p w14:paraId="66A84E59" w14:textId="77777777" w:rsidR="00124073" w:rsidRPr="0090731F" w:rsidRDefault="00124073" w:rsidP="00EE2761">
            <w:pPr>
              <w:pStyle w:val="paragraph"/>
              <w:spacing w:before="0" w:beforeAutospacing="0" w:after="0" w:afterAutospacing="0"/>
              <w:textAlignment w:val="baseline"/>
              <w:rPr>
                <w:sz w:val="22"/>
                <w:szCs w:val="22"/>
              </w:rPr>
            </w:pPr>
            <w:r w:rsidRPr="0090731F">
              <w:rPr>
                <w:rStyle w:val="eop"/>
                <w:sz w:val="22"/>
                <w:szCs w:val="22"/>
              </w:rPr>
              <w:t> </w:t>
            </w:r>
          </w:p>
          <w:p w14:paraId="4E2DB54C" w14:textId="77777777" w:rsidR="00B9079A" w:rsidRPr="0090731F" w:rsidRDefault="00124073" w:rsidP="00B9079A">
            <w:pPr>
              <w:pStyle w:val="paragraph"/>
              <w:spacing w:before="0" w:beforeAutospacing="0" w:after="0" w:afterAutospacing="0"/>
              <w:ind w:left="111" w:right="138"/>
              <w:jc w:val="both"/>
              <w:textAlignment w:val="baseline"/>
              <w:rPr>
                <w:sz w:val="22"/>
                <w:szCs w:val="22"/>
                <w:lang w:val="uk-UA"/>
              </w:rPr>
            </w:pPr>
            <w:r w:rsidRPr="0090731F">
              <w:rPr>
                <w:rStyle w:val="eop"/>
                <w:sz w:val="22"/>
                <w:szCs w:val="22"/>
              </w:rPr>
              <w:t> </w:t>
            </w:r>
            <w:r w:rsidR="00B9079A" w:rsidRPr="0090731F">
              <w:rPr>
                <w:sz w:val="22"/>
                <w:szCs w:val="22"/>
                <w:lang w:val="uk-UA"/>
              </w:rPr>
              <w:t xml:space="preserve">Послуги фінансового аудиту </w:t>
            </w:r>
            <w:proofErr w:type="spellStart"/>
            <w:r w:rsidR="00B9079A" w:rsidRPr="0090731F">
              <w:rPr>
                <w:sz w:val="22"/>
                <w:szCs w:val="22"/>
                <w:lang w:val="uk-UA"/>
              </w:rPr>
              <w:t>проекту</w:t>
            </w:r>
            <w:proofErr w:type="spellEnd"/>
            <w:r w:rsidR="00B9079A" w:rsidRPr="0090731F">
              <w:rPr>
                <w:sz w:val="22"/>
                <w:szCs w:val="22"/>
                <w:lang w:val="uk-UA"/>
              </w:rPr>
              <w:t xml:space="preserve"> за підтримки АЧХ, перевірка правильності і достовірності відображення фінансових операцій у бухгалтерському обліку та фінансовій звітності. </w:t>
            </w:r>
          </w:p>
          <w:p w14:paraId="7CE594F5" w14:textId="6BD083D8" w:rsidR="00124073" w:rsidRPr="0090731F" w:rsidRDefault="00B9079A" w:rsidP="00B9079A">
            <w:pPr>
              <w:pStyle w:val="paragraph"/>
              <w:spacing w:before="0" w:beforeAutospacing="0" w:after="0" w:afterAutospacing="0"/>
              <w:ind w:left="111" w:right="138"/>
              <w:jc w:val="both"/>
              <w:textAlignment w:val="baseline"/>
              <w:rPr>
                <w:sz w:val="22"/>
                <w:szCs w:val="22"/>
                <w:lang w:val="uk-UA"/>
              </w:rPr>
            </w:pPr>
            <w:r w:rsidRPr="0090731F">
              <w:rPr>
                <w:b/>
                <w:bCs/>
                <w:sz w:val="22"/>
                <w:szCs w:val="22"/>
                <w:lang w:val="uk-UA"/>
              </w:rPr>
              <w:t>Кількість папок для перевірки -  15.</w:t>
            </w:r>
            <w:r w:rsidRPr="0090731F">
              <w:rPr>
                <w:sz w:val="22"/>
                <w:szCs w:val="22"/>
                <w:lang w:val="uk-UA"/>
              </w:rPr>
              <w:t xml:space="preserve"> </w:t>
            </w:r>
          </w:p>
          <w:p w14:paraId="2AA10E2E" w14:textId="252661BE" w:rsidR="00801840" w:rsidRPr="0090731F" w:rsidRDefault="00801840" w:rsidP="00B9079A">
            <w:pPr>
              <w:pStyle w:val="paragraph"/>
              <w:spacing w:before="0" w:beforeAutospacing="0" w:after="0" w:afterAutospacing="0"/>
              <w:ind w:left="111" w:right="138"/>
              <w:jc w:val="both"/>
              <w:textAlignment w:val="baseline"/>
              <w:rPr>
                <w:b/>
                <w:bCs/>
                <w:sz w:val="22"/>
                <w:szCs w:val="22"/>
                <w:lang w:val="uk-UA"/>
              </w:rPr>
            </w:pPr>
            <w:r w:rsidRPr="0090731F">
              <w:rPr>
                <w:b/>
                <w:bCs/>
                <w:sz w:val="22"/>
                <w:szCs w:val="22"/>
                <w:lang w:val="uk-UA"/>
              </w:rPr>
              <w:t xml:space="preserve">Період перевірки </w:t>
            </w:r>
            <w:proofErr w:type="spellStart"/>
            <w:r w:rsidRPr="0090731F">
              <w:rPr>
                <w:b/>
                <w:bCs/>
                <w:sz w:val="22"/>
                <w:szCs w:val="22"/>
                <w:lang w:val="uk-UA"/>
              </w:rPr>
              <w:t>проекту</w:t>
            </w:r>
            <w:proofErr w:type="spellEnd"/>
            <w:r w:rsidRPr="0090731F">
              <w:rPr>
                <w:b/>
                <w:bCs/>
                <w:sz w:val="22"/>
                <w:szCs w:val="22"/>
                <w:lang w:val="uk-UA"/>
              </w:rPr>
              <w:t>: 01.01.2026р.-</w:t>
            </w:r>
            <w:r w:rsidR="00927E04" w:rsidRPr="0090731F">
              <w:rPr>
                <w:b/>
                <w:bCs/>
                <w:sz w:val="22"/>
                <w:szCs w:val="22"/>
                <w:lang w:val="uk-UA"/>
              </w:rPr>
              <w:t>31.12.2026р.</w:t>
            </w:r>
          </w:p>
          <w:p w14:paraId="342FFDF9" w14:textId="19B2D6C2" w:rsidR="00124073" w:rsidRPr="0090731F" w:rsidRDefault="00124073" w:rsidP="00EE2761">
            <w:pPr>
              <w:pStyle w:val="paragraph"/>
              <w:spacing w:before="0" w:beforeAutospacing="0" w:after="0" w:afterAutospacing="0"/>
              <w:textAlignment w:val="baseline"/>
              <w:rPr>
                <w:sz w:val="22"/>
                <w:szCs w:val="22"/>
              </w:rPr>
            </w:pPr>
            <w:r w:rsidRPr="0090731F">
              <w:rPr>
                <w:rStyle w:val="eop"/>
                <w:sz w:val="22"/>
                <w:szCs w:val="22"/>
              </w:rPr>
              <w:t> </w:t>
            </w:r>
          </w:p>
        </w:tc>
        <w:tc>
          <w:tcPr>
            <w:tcW w:w="1843" w:type="dxa"/>
            <w:tcBorders>
              <w:top w:val="single" w:sz="6" w:space="0" w:color="auto"/>
              <w:left w:val="single" w:sz="6" w:space="0" w:color="auto"/>
              <w:right w:val="single" w:sz="6" w:space="0" w:color="000000"/>
            </w:tcBorders>
            <w:vAlign w:val="center"/>
            <w:hideMark/>
          </w:tcPr>
          <w:p w14:paraId="38C4BE3A" w14:textId="5675EA3C" w:rsidR="0047457A" w:rsidRPr="0024139D" w:rsidRDefault="0047457A" w:rsidP="0047457A">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1</w:t>
            </w:r>
          </w:p>
          <w:p w14:paraId="6EC28957" w14:textId="77777777" w:rsidR="0047457A" w:rsidRPr="0024139D" w:rsidRDefault="0047457A" w:rsidP="0047457A">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7A6CEE47" w14:textId="57D83910" w:rsidR="00124073" w:rsidRPr="0047457A" w:rsidRDefault="0047457A" w:rsidP="0047457A">
            <w:pPr>
              <w:pStyle w:val="paragraph"/>
              <w:spacing w:before="0" w:beforeAutospacing="0" w:after="0" w:afterAutospacing="0"/>
              <w:jc w:val="center"/>
              <w:textAlignment w:val="baseline"/>
              <w:rPr>
                <w:sz w:val="22"/>
                <w:szCs w:val="22"/>
                <w:lang w:val="uk-UA"/>
              </w:rPr>
            </w:pPr>
            <w:r w:rsidRPr="0024139D">
              <w:rPr>
                <w:rStyle w:val="eop"/>
                <w:i/>
                <w:iCs/>
                <w:sz w:val="22"/>
                <w:szCs w:val="22"/>
                <w:lang w:val="uk-UA"/>
              </w:rPr>
              <w:t>(згідно вимог Додатку</w:t>
            </w:r>
            <w:r>
              <w:rPr>
                <w:rStyle w:val="eop"/>
                <w:i/>
                <w:iCs/>
                <w:sz w:val="22"/>
                <w:szCs w:val="22"/>
                <w:lang w:val="uk-UA"/>
              </w:rPr>
              <w:t xml:space="preserve"> </w:t>
            </w:r>
            <w:r>
              <w:rPr>
                <w:rStyle w:val="eop"/>
                <w:sz w:val="22"/>
                <w:szCs w:val="22"/>
                <w:lang w:val="uk-UA"/>
              </w:rPr>
              <w:t>1)</w:t>
            </w:r>
          </w:p>
          <w:p w14:paraId="3FFE1A4C" w14:textId="77777777" w:rsidR="00124073" w:rsidRDefault="00124073" w:rsidP="00EE2761">
            <w:pPr>
              <w:pStyle w:val="paragraph"/>
              <w:spacing w:before="0" w:beforeAutospacing="0" w:after="0" w:afterAutospacing="0"/>
              <w:jc w:val="center"/>
              <w:textAlignment w:val="baseline"/>
              <w:rPr>
                <w:sz w:val="22"/>
                <w:szCs w:val="22"/>
              </w:rPr>
            </w:pPr>
            <w:r>
              <w:rPr>
                <w:rStyle w:val="eop"/>
                <w:sz w:val="22"/>
                <w:szCs w:val="22"/>
              </w:rPr>
              <w:t> </w:t>
            </w:r>
          </w:p>
        </w:tc>
        <w:tc>
          <w:tcPr>
            <w:tcW w:w="2432" w:type="dxa"/>
            <w:tcBorders>
              <w:top w:val="single" w:sz="6" w:space="0" w:color="auto"/>
              <w:left w:val="single" w:sz="6" w:space="0" w:color="000000"/>
              <w:right w:val="single" w:sz="6" w:space="0" w:color="auto"/>
            </w:tcBorders>
            <w:vAlign w:val="center"/>
            <w:hideMark/>
          </w:tcPr>
          <w:p w14:paraId="46E5C086" w14:textId="515CA80F" w:rsidR="00124073" w:rsidRPr="001010A5" w:rsidRDefault="00124073" w:rsidP="001010A5">
            <w:pPr>
              <w:pStyle w:val="paragraph"/>
              <w:spacing w:before="0" w:beforeAutospacing="0" w:after="0" w:afterAutospacing="0"/>
              <w:textAlignment w:val="baseline"/>
              <w:rPr>
                <w:sz w:val="22"/>
                <w:szCs w:val="22"/>
                <w:lang w:val="uk-UA"/>
              </w:rPr>
            </w:pPr>
            <w:r>
              <w:rPr>
                <w:rStyle w:val="eop"/>
                <w:sz w:val="22"/>
                <w:szCs w:val="22"/>
              </w:rPr>
              <w:t> </w:t>
            </w:r>
          </w:p>
        </w:tc>
      </w:tr>
      <w:tr w:rsidR="007F1FD3" w14:paraId="1EC5D356" w14:textId="77777777" w:rsidTr="00E660E0">
        <w:trPr>
          <w:trHeight w:val="424"/>
        </w:trPr>
        <w:tc>
          <w:tcPr>
            <w:tcW w:w="7789" w:type="dxa"/>
            <w:gridSpan w:val="3"/>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43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57E56B2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A6841">
        <w:rPr>
          <w:rStyle w:val="normaltextrun"/>
          <w:i/>
          <w:iCs/>
          <w:sz w:val="22"/>
          <w:szCs w:val="22"/>
          <w:lang w:val="uk-UA"/>
        </w:rPr>
        <w:t xml:space="preserve">знижки </w:t>
      </w:r>
      <w:r w:rsidR="00883CDA" w:rsidRPr="009A6841">
        <w:rPr>
          <w:i/>
          <w:iCs/>
          <w:sz w:val="22"/>
          <w:szCs w:val="22"/>
          <w:lang w:val="uk-UA" w:eastAsia="uk-UA"/>
        </w:rPr>
        <w:t>на послуги</w:t>
      </w:r>
      <w:r w:rsidRPr="009A6841">
        <w:rPr>
          <w:rStyle w:val="normaltextrun"/>
          <w:i/>
          <w:iCs/>
          <w:sz w:val="22"/>
          <w:szCs w:val="22"/>
          <w:lang w:val="uk-UA"/>
        </w:rPr>
        <w:t>,</w:t>
      </w:r>
      <w:r>
        <w:rPr>
          <w:rStyle w:val="normaltextrun"/>
          <w:i/>
          <w:iCs/>
          <w:sz w:val="22"/>
          <w:szCs w:val="22"/>
          <w:lang w:val="uk-UA"/>
        </w:rPr>
        <w:t xml:space="preserve"> вказані у ціновому запиті.</w:t>
      </w:r>
      <w:r>
        <w:rPr>
          <w:rStyle w:val="tabchar"/>
          <w:rFonts w:ascii="Calibri" w:hAnsi="Calibri" w:cs="Calibri"/>
          <w:sz w:val="22"/>
          <w:szCs w:val="22"/>
        </w:rPr>
        <w:t xml:space="preserve"> </w:t>
      </w:r>
      <w:r>
        <w:rPr>
          <w:rStyle w:val="eop"/>
          <w:sz w:val="22"/>
          <w:szCs w:val="22"/>
        </w:rPr>
        <w:t> </w:t>
      </w:r>
    </w:p>
    <w:p w14:paraId="17EC58E0" w14:textId="30BFCBDC" w:rsidR="009678FC" w:rsidRPr="00883CDA" w:rsidRDefault="009678FC" w:rsidP="004A5FA5">
      <w:pPr>
        <w:pStyle w:val="paragraph"/>
        <w:spacing w:before="0" w:beforeAutospacing="0" w:after="0" w:afterAutospacing="0"/>
        <w:ind w:firstLine="345"/>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r w:rsidR="004A5FA5">
        <w:rPr>
          <w:i/>
          <w:iCs/>
          <w:sz w:val="22"/>
          <w:szCs w:val="22"/>
          <w:lang w:val="uk-UA" w:eastAsia="uk-UA"/>
        </w:rPr>
        <w:t>.</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0FF96E18" w14:textId="2DA75F40" w:rsidR="009A6841" w:rsidRPr="006B7225" w:rsidRDefault="009A6841" w:rsidP="00E26D5F">
      <w:pPr>
        <w:jc w:val="both"/>
        <w:rPr>
          <w:rFonts w:eastAsia="Arial Unicode MS"/>
          <w:i/>
          <w:iCs/>
          <w:sz w:val="20"/>
          <w:szCs w:val="20"/>
          <w:lang w:val="uk-UA"/>
        </w:rPr>
      </w:pPr>
      <w:r w:rsidRPr="006B7225">
        <w:rPr>
          <w:i/>
          <w:iCs/>
          <w:sz w:val="20"/>
          <w:szCs w:val="20"/>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w:t>
      </w:r>
      <w:proofErr w:type="spellStart"/>
      <w:r w:rsidRPr="006B7225">
        <w:rPr>
          <w:rFonts w:eastAsia="Arial Unicode MS"/>
          <w:i/>
          <w:iCs/>
          <w:sz w:val="20"/>
          <w:szCs w:val="20"/>
        </w:rPr>
        <w:t>Згідно</w:t>
      </w:r>
      <w:proofErr w:type="spellEnd"/>
      <w:r w:rsidRPr="006B7225">
        <w:rPr>
          <w:rFonts w:eastAsia="Arial Unicode MS"/>
          <w:i/>
          <w:iCs/>
          <w:sz w:val="20"/>
          <w:szCs w:val="20"/>
        </w:rPr>
        <w:t xml:space="preserve"> </w:t>
      </w:r>
      <w:proofErr w:type="spellStart"/>
      <w:r w:rsidRPr="006B7225">
        <w:rPr>
          <w:rFonts w:eastAsia="Arial Unicode MS"/>
          <w:i/>
          <w:iCs/>
          <w:sz w:val="20"/>
          <w:szCs w:val="20"/>
        </w:rPr>
        <w:t>політик</w:t>
      </w:r>
      <w:proofErr w:type="spellEnd"/>
      <w:r w:rsidRPr="006B7225">
        <w:rPr>
          <w:rFonts w:eastAsia="Arial Unicode MS"/>
          <w:i/>
          <w:iCs/>
          <w:sz w:val="20"/>
          <w:szCs w:val="20"/>
        </w:rPr>
        <w:t xml:space="preserve"> ТЧХУ </w:t>
      </w:r>
      <w:proofErr w:type="spellStart"/>
      <w:r w:rsidRPr="006B7225">
        <w:rPr>
          <w:rFonts w:eastAsia="Arial Unicode MS"/>
          <w:i/>
          <w:iCs/>
          <w:sz w:val="20"/>
          <w:szCs w:val="20"/>
        </w:rPr>
        <w:t>передплата</w:t>
      </w:r>
      <w:proofErr w:type="spellEnd"/>
      <w:r w:rsidRPr="006B7225">
        <w:rPr>
          <w:rFonts w:eastAsia="Arial Unicode MS"/>
          <w:i/>
          <w:iCs/>
          <w:sz w:val="20"/>
          <w:szCs w:val="20"/>
        </w:rPr>
        <w:t xml:space="preserve"> </w:t>
      </w:r>
      <w:proofErr w:type="spellStart"/>
      <w:r w:rsidRPr="006B7225">
        <w:rPr>
          <w:rFonts w:eastAsia="Arial Unicode MS"/>
          <w:i/>
          <w:iCs/>
          <w:sz w:val="20"/>
          <w:szCs w:val="20"/>
        </w:rPr>
        <w:t>може</w:t>
      </w:r>
      <w:proofErr w:type="spellEnd"/>
      <w:r w:rsidRPr="006B7225">
        <w:rPr>
          <w:rFonts w:eastAsia="Arial Unicode MS"/>
          <w:i/>
          <w:iCs/>
          <w:sz w:val="20"/>
          <w:szCs w:val="20"/>
        </w:rPr>
        <w:t xml:space="preserve"> </w:t>
      </w:r>
      <w:proofErr w:type="spellStart"/>
      <w:r w:rsidRPr="006B7225">
        <w:rPr>
          <w:rFonts w:eastAsia="Arial Unicode MS"/>
          <w:i/>
          <w:iCs/>
          <w:sz w:val="20"/>
          <w:szCs w:val="20"/>
        </w:rPr>
        <w:t>застосовуватись</w:t>
      </w:r>
      <w:proofErr w:type="spellEnd"/>
      <w:r w:rsidRPr="006B7225">
        <w:rPr>
          <w:rFonts w:eastAsia="Arial Unicode MS"/>
          <w:i/>
          <w:iCs/>
          <w:sz w:val="20"/>
          <w:szCs w:val="20"/>
        </w:rPr>
        <w:t xml:space="preserve"> </w:t>
      </w:r>
      <w:proofErr w:type="spellStart"/>
      <w:r w:rsidRPr="006B7225">
        <w:rPr>
          <w:rFonts w:eastAsia="Arial Unicode MS"/>
          <w:i/>
          <w:iCs/>
          <w:sz w:val="20"/>
          <w:szCs w:val="20"/>
        </w:rPr>
        <w:t>лише</w:t>
      </w:r>
      <w:proofErr w:type="spellEnd"/>
      <w:r w:rsidRPr="006B7225">
        <w:rPr>
          <w:rFonts w:eastAsia="Arial Unicode MS"/>
          <w:i/>
          <w:iCs/>
          <w:sz w:val="20"/>
          <w:szCs w:val="20"/>
        </w:rPr>
        <w:t xml:space="preserve"> як </w:t>
      </w:r>
      <w:proofErr w:type="spellStart"/>
      <w:r w:rsidRPr="006B7225">
        <w:rPr>
          <w:rFonts w:eastAsia="Arial Unicode MS"/>
          <w:i/>
          <w:iCs/>
          <w:sz w:val="20"/>
          <w:szCs w:val="20"/>
        </w:rPr>
        <w:t>виключення</w:t>
      </w:r>
      <w:proofErr w:type="spellEnd"/>
      <w:r w:rsidRPr="006B7225">
        <w:rPr>
          <w:rFonts w:eastAsia="Arial Unicode MS"/>
          <w:i/>
          <w:iCs/>
          <w:sz w:val="20"/>
          <w:szCs w:val="20"/>
        </w:rPr>
        <w:t xml:space="preserve"> та </w:t>
      </w:r>
      <w:r w:rsidRPr="006B7225">
        <w:rPr>
          <w:rFonts w:eastAsia="Arial Unicode MS"/>
          <w:i/>
          <w:iCs/>
          <w:sz w:val="20"/>
          <w:szCs w:val="20"/>
          <w:lang w:val="uk-UA"/>
        </w:rPr>
        <w:t xml:space="preserve">не може </w:t>
      </w:r>
      <w:proofErr w:type="gramStart"/>
      <w:r w:rsidRPr="006B7225">
        <w:rPr>
          <w:rFonts w:eastAsia="Arial Unicode MS"/>
          <w:i/>
          <w:iCs/>
          <w:sz w:val="20"/>
          <w:szCs w:val="20"/>
          <w:lang w:val="uk-UA"/>
        </w:rPr>
        <w:t>перевищувати</w:t>
      </w:r>
      <w:r w:rsidRPr="006B7225">
        <w:rPr>
          <w:rFonts w:eastAsia="Arial Unicode MS"/>
          <w:i/>
          <w:iCs/>
          <w:sz w:val="20"/>
          <w:szCs w:val="20"/>
        </w:rPr>
        <w:t xml:space="preserve">  50</w:t>
      </w:r>
      <w:proofErr w:type="gramEnd"/>
      <w:r w:rsidRPr="006B7225">
        <w:rPr>
          <w:rFonts w:eastAsia="Arial Unicode MS"/>
          <w:i/>
          <w:iCs/>
          <w:sz w:val="20"/>
          <w:szCs w:val="20"/>
        </w:rPr>
        <w:t>%</w:t>
      </w:r>
      <w:r w:rsidRPr="006B7225">
        <w:rPr>
          <w:rFonts w:eastAsia="Arial Unicode MS"/>
          <w:i/>
          <w:iCs/>
          <w:sz w:val="20"/>
          <w:szCs w:val="20"/>
          <w:lang w:val="uk-UA"/>
        </w:rPr>
        <w:t xml:space="preserve"> вартості.</w:t>
      </w:r>
    </w:p>
    <w:p w14:paraId="1A16F3DD" w14:textId="77777777" w:rsidR="004A5FA5" w:rsidRPr="006B7225" w:rsidRDefault="004A5FA5" w:rsidP="009678FC">
      <w:pPr>
        <w:spacing w:line="240" w:lineRule="exact"/>
        <w:textAlignment w:val="baseline"/>
        <w:rPr>
          <w:color w:val="000000"/>
          <w:sz w:val="22"/>
          <w:szCs w:val="22"/>
          <w:lang w:val="uk-UA" w:eastAsia="uk-UA"/>
        </w:rPr>
      </w:pPr>
    </w:p>
    <w:p w14:paraId="3A4E0946" w14:textId="5FFC1384" w:rsidR="009678FC"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9F5552">
        <w:rPr>
          <w:color w:val="000000"/>
          <w:sz w:val="22"/>
          <w:szCs w:val="22"/>
          <w:highlight w:val="yellow"/>
          <w:lang w:val="uk-UA" w:eastAsia="uk-UA"/>
        </w:rPr>
        <w:t xml:space="preserve">01.01.2027р </w:t>
      </w:r>
      <w:r w:rsidR="004A5FA5" w:rsidRPr="00A8040D">
        <w:rPr>
          <w:color w:val="000000"/>
          <w:sz w:val="22"/>
          <w:szCs w:val="22"/>
          <w:highlight w:val="yellow"/>
          <w:lang w:val="uk-UA" w:eastAsia="uk-UA"/>
        </w:rPr>
        <w:t>-</w:t>
      </w:r>
      <w:r w:rsidR="009F5552">
        <w:rPr>
          <w:color w:val="000000"/>
          <w:sz w:val="22"/>
          <w:szCs w:val="22"/>
          <w:highlight w:val="yellow"/>
          <w:lang w:val="uk-UA" w:eastAsia="uk-UA"/>
        </w:rPr>
        <w:t>31.03.</w:t>
      </w:r>
      <w:r w:rsidR="004A5FA5" w:rsidRPr="00A8040D">
        <w:rPr>
          <w:color w:val="000000"/>
          <w:sz w:val="22"/>
          <w:szCs w:val="22"/>
          <w:highlight w:val="yellow"/>
          <w:lang w:val="uk-UA" w:eastAsia="uk-UA"/>
        </w:rPr>
        <w:t>2027 р.</w:t>
      </w:r>
    </w:p>
    <w:p w14:paraId="56D2A564" w14:textId="77777777" w:rsidR="00E660E0" w:rsidRDefault="00E660E0" w:rsidP="00E660E0">
      <w:pPr>
        <w:pStyle w:val="paragraph"/>
        <w:spacing w:before="0" w:beforeAutospacing="0" w:after="0" w:afterAutospacing="0"/>
        <w:textAlignment w:val="baseline"/>
        <w:rPr>
          <w:b/>
          <w:bCs/>
          <w:color w:val="000000"/>
          <w:sz w:val="22"/>
          <w:szCs w:val="22"/>
          <w:lang w:val="uk-UA" w:eastAsia="uk-UA"/>
        </w:rPr>
      </w:pPr>
      <w:r w:rsidRPr="00836439">
        <w:rPr>
          <w:b/>
          <w:bCs/>
          <w:color w:val="000000"/>
          <w:sz w:val="22"/>
          <w:szCs w:val="22"/>
          <w:lang w:val="uk-UA" w:eastAsia="uk-UA"/>
        </w:rPr>
        <w:t>Готовність надавати послуги згідно вказаного графіка____________________________</w:t>
      </w:r>
      <w:r w:rsidRPr="00836439">
        <w:rPr>
          <w:b/>
          <w:bCs/>
          <w:i/>
          <w:iCs/>
          <w:color w:val="000000"/>
          <w:sz w:val="22"/>
          <w:szCs w:val="22"/>
          <w:lang w:val="uk-UA" w:eastAsia="uk-UA"/>
        </w:rPr>
        <w:t>(підтвердити).</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B8248EA" w14:textId="60341372" w:rsidR="009A6841" w:rsidRDefault="009A6841" w:rsidP="009678FC">
      <w:pPr>
        <w:ind w:firstLine="357"/>
        <w:jc w:val="both"/>
        <w:rPr>
          <w:spacing w:val="-4"/>
          <w:sz w:val="22"/>
          <w:szCs w:val="22"/>
          <w:lang w:val="uk-UA"/>
        </w:rPr>
      </w:pPr>
      <w:r w:rsidRPr="009A6841">
        <w:rPr>
          <w:spacing w:val="-4"/>
          <w:sz w:val="22"/>
          <w:szCs w:val="22"/>
          <w:lang w:val="uk-UA"/>
        </w:rPr>
        <w:t xml:space="preserve">Ми погоджуємось, що всі витрати, пов’язані з наданням послуг, здійснюються за рахунок Постачальника за вказаною </w:t>
      </w:r>
      <w:proofErr w:type="spellStart"/>
      <w:r w:rsidRPr="009A6841">
        <w:rPr>
          <w:spacing w:val="-4"/>
          <w:sz w:val="22"/>
          <w:szCs w:val="22"/>
          <w:lang w:val="uk-UA"/>
        </w:rPr>
        <w:t>адресою</w:t>
      </w:r>
      <w:proofErr w:type="spellEnd"/>
      <w:r>
        <w:rPr>
          <w:spacing w:val="-4"/>
          <w:sz w:val="22"/>
          <w:szCs w:val="22"/>
          <w:lang w:val="uk-UA"/>
        </w:rPr>
        <w:t>.</w:t>
      </w:r>
      <w:r w:rsidRPr="009A6841">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9610B8"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w:t>
      </w:r>
      <w:r w:rsidRPr="009610B8">
        <w:rPr>
          <w:spacing w:val="-4"/>
          <w:sz w:val="22"/>
          <w:szCs w:val="22"/>
          <w:lang w:val="uk-UA"/>
        </w:rPr>
        <w:t>наявного фінансування до підписання договору.</w:t>
      </w:r>
    </w:p>
    <w:p w14:paraId="2EBC97B4" w14:textId="77777777" w:rsidR="009678FC" w:rsidRPr="00531333" w:rsidRDefault="009678FC" w:rsidP="009678FC">
      <w:pPr>
        <w:ind w:firstLine="357"/>
        <w:jc w:val="both"/>
        <w:rPr>
          <w:spacing w:val="-4"/>
          <w:sz w:val="22"/>
          <w:szCs w:val="22"/>
          <w:lang w:val="uk-UA"/>
        </w:rPr>
      </w:pPr>
      <w:r w:rsidRPr="009610B8">
        <w:rPr>
          <w:spacing w:val="-4"/>
          <w:sz w:val="22"/>
          <w:szCs w:val="22"/>
          <w:lang w:val="uk-UA"/>
        </w:rPr>
        <w:t>Ми погоджуємось зафіксувати цінову пропозицію протягом 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4592" w14:textId="77777777" w:rsidR="004F3683" w:rsidRDefault="004F3683" w:rsidP="00B948CF">
      <w:r>
        <w:separator/>
      </w:r>
    </w:p>
  </w:endnote>
  <w:endnote w:type="continuationSeparator" w:id="0">
    <w:p w14:paraId="6A61657D" w14:textId="77777777" w:rsidR="004F3683" w:rsidRDefault="004F3683" w:rsidP="00B948CF">
      <w:r>
        <w:continuationSeparator/>
      </w:r>
    </w:p>
  </w:endnote>
  <w:endnote w:type="continuationNotice" w:id="1">
    <w:p w14:paraId="745F95BD" w14:textId="77777777" w:rsidR="004F3683" w:rsidRDefault="004F3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unant">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2F3E" w14:textId="77777777" w:rsidR="004F3683" w:rsidRDefault="004F3683" w:rsidP="00B948CF">
      <w:r>
        <w:separator/>
      </w:r>
    </w:p>
  </w:footnote>
  <w:footnote w:type="continuationSeparator" w:id="0">
    <w:p w14:paraId="17644257" w14:textId="77777777" w:rsidR="004F3683" w:rsidRDefault="004F3683" w:rsidP="00B948CF">
      <w:r>
        <w:continuationSeparator/>
      </w:r>
    </w:p>
  </w:footnote>
  <w:footnote w:type="continuationNotice" w:id="1">
    <w:p w14:paraId="64F23D6C" w14:textId="77777777" w:rsidR="004F3683" w:rsidRDefault="004F3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1069"/>
        </w:tabs>
        <w:ind w:left="1069" w:hanging="360"/>
      </w:pPr>
    </w:lvl>
    <w:lvl w:ilvl="1" w:tplc="04070019">
      <w:start w:val="1"/>
      <w:numFmt w:val="lowerLetter"/>
      <w:lvlText w:val="%2."/>
      <w:lvlJc w:val="left"/>
      <w:pPr>
        <w:ind w:left="7514"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95583"/>
    <w:multiLevelType w:val="multilevel"/>
    <w:tmpl w:val="B574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433003C"/>
    <w:multiLevelType w:val="hybridMultilevel"/>
    <w:tmpl w:val="AA76E9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C1EA2"/>
    <w:multiLevelType w:val="hybridMultilevel"/>
    <w:tmpl w:val="18F0EDCC"/>
    <w:lvl w:ilvl="0" w:tplc="FFFFFFFF">
      <w:start w:val="1"/>
      <w:numFmt w:val="decimal"/>
      <w:lvlText w:val="3.%1."/>
      <w:lvlJc w:val="center"/>
      <w:pPr>
        <w:ind w:left="1077" w:hanging="360"/>
      </w:pPr>
      <w:rPr>
        <w:rFonts w:hint="default"/>
        <w:color w:val="auto"/>
      </w:rPr>
    </w:lvl>
    <w:lvl w:ilvl="1" w:tplc="FFFFFFFF" w:tentative="1">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331D1799"/>
    <w:multiLevelType w:val="hybridMultilevel"/>
    <w:tmpl w:val="43A0E61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C914D43"/>
    <w:multiLevelType w:val="hybridMultilevel"/>
    <w:tmpl w:val="956E182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15:restartNumberingAfterBreak="0">
    <w:nsid w:val="3D5515A8"/>
    <w:multiLevelType w:val="hybridMultilevel"/>
    <w:tmpl w:val="8C00478C"/>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3" w15:restartNumberingAfterBreak="0">
    <w:nsid w:val="443C6A3A"/>
    <w:multiLevelType w:val="hybridMultilevel"/>
    <w:tmpl w:val="E996A528"/>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7813C7"/>
    <w:multiLevelType w:val="multilevel"/>
    <w:tmpl w:val="D26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EF3FF2"/>
    <w:multiLevelType w:val="hybridMultilevel"/>
    <w:tmpl w:val="B32C0D06"/>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4C141B"/>
    <w:multiLevelType w:val="hybridMultilevel"/>
    <w:tmpl w:val="0142B82C"/>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16cid:durableId="1911691415">
    <w:abstractNumId w:val="17"/>
  </w:num>
  <w:num w:numId="2" w16cid:durableId="796334585">
    <w:abstractNumId w:val="10"/>
  </w:num>
  <w:num w:numId="3" w16cid:durableId="2022393133">
    <w:abstractNumId w:val="5"/>
  </w:num>
  <w:num w:numId="4" w16cid:durableId="271401053">
    <w:abstractNumId w:val="24"/>
  </w:num>
  <w:num w:numId="5" w16cid:durableId="923802013">
    <w:abstractNumId w:val="15"/>
  </w:num>
  <w:num w:numId="6" w16cid:durableId="831797829">
    <w:abstractNumId w:val="22"/>
  </w:num>
  <w:num w:numId="7" w16cid:durableId="187256949">
    <w:abstractNumId w:val="4"/>
  </w:num>
  <w:num w:numId="8" w16cid:durableId="759763480">
    <w:abstractNumId w:val="7"/>
  </w:num>
  <w:num w:numId="9" w16cid:durableId="1263101845">
    <w:abstractNumId w:val="1"/>
  </w:num>
  <w:num w:numId="10" w16cid:durableId="2089762677">
    <w:abstractNumId w:val="23"/>
  </w:num>
  <w:num w:numId="11" w16cid:durableId="1560674692">
    <w:abstractNumId w:val="20"/>
  </w:num>
  <w:num w:numId="12" w16cid:durableId="1595630758">
    <w:abstractNumId w:val="18"/>
  </w:num>
  <w:num w:numId="13" w16cid:durableId="2104493361">
    <w:abstractNumId w:val="6"/>
  </w:num>
  <w:num w:numId="14" w16cid:durableId="1131245884">
    <w:abstractNumId w:val="2"/>
  </w:num>
  <w:num w:numId="15" w16cid:durableId="1166435985">
    <w:abstractNumId w:val="14"/>
  </w:num>
  <w:num w:numId="16" w16cid:durableId="485391828">
    <w:abstractNumId w:val="21"/>
  </w:num>
  <w:num w:numId="17" w16cid:durableId="442726501">
    <w:abstractNumId w:val="0"/>
  </w:num>
  <w:num w:numId="18" w16cid:durableId="701444953">
    <w:abstractNumId w:val="16"/>
  </w:num>
  <w:num w:numId="19" w16cid:durableId="117770439">
    <w:abstractNumId w:val="12"/>
  </w:num>
  <w:num w:numId="20" w16cid:durableId="1032654896">
    <w:abstractNumId w:val="11"/>
  </w:num>
  <w:num w:numId="21" w16cid:durableId="1619919368">
    <w:abstractNumId w:val="8"/>
  </w:num>
  <w:num w:numId="22" w16cid:durableId="1705640851">
    <w:abstractNumId w:val="19"/>
  </w:num>
  <w:num w:numId="23" w16cid:durableId="615059726">
    <w:abstractNumId w:val="25"/>
  </w:num>
  <w:num w:numId="24" w16cid:durableId="1272397576">
    <w:abstractNumId w:val="3"/>
  </w:num>
  <w:num w:numId="25" w16cid:durableId="210384500">
    <w:abstractNumId w:val="13"/>
  </w:num>
  <w:num w:numId="26" w16cid:durableId="18515556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DB9"/>
    <w:rsid w:val="0003635E"/>
    <w:rsid w:val="000368BE"/>
    <w:rsid w:val="00037277"/>
    <w:rsid w:val="00041F59"/>
    <w:rsid w:val="00050974"/>
    <w:rsid w:val="00050D77"/>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03E"/>
    <w:rsid w:val="000B2556"/>
    <w:rsid w:val="000B2A6B"/>
    <w:rsid w:val="000B4057"/>
    <w:rsid w:val="000B4FCD"/>
    <w:rsid w:val="000C6F08"/>
    <w:rsid w:val="000C75F4"/>
    <w:rsid w:val="000C7D03"/>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4073"/>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3496"/>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5A5"/>
    <w:rsid w:val="001F68DA"/>
    <w:rsid w:val="001F6A84"/>
    <w:rsid w:val="00200D68"/>
    <w:rsid w:val="00203564"/>
    <w:rsid w:val="00204FE3"/>
    <w:rsid w:val="00211859"/>
    <w:rsid w:val="002124EE"/>
    <w:rsid w:val="002174C2"/>
    <w:rsid w:val="00225B63"/>
    <w:rsid w:val="00226CF9"/>
    <w:rsid w:val="002309B5"/>
    <w:rsid w:val="002310DA"/>
    <w:rsid w:val="002318E5"/>
    <w:rsid w:val="0023489E"/>
    <w:rsid w:val="00236E88"/>
    <w:rsid w:val="002415B2"/>
    <w:rsid w:val="00241A8B"/>
    <w:rsid w:val="00244614"/>
    <w:rsid w:val="002454BA"/>
    <w:rsid w:val="0025239E"/>
    <w:rsid w:val="002549F6"/>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B16"/>
    <w:rsid w:val="00331F55"/>
    <w:rsid w:val="0033293A"/>
    <w:rsid w:val="00337032"/>
    <w:rsid w:val="003405A0"/>
    <w:rsid w:val="00345290"/>
    <w:rsid w:val="00345840"/>
    <w:rsid w:val="00345ABF"/>
    <w:rsid w:val="003503D1"/>
    <w:rsid w:val="003531E2"/>
    <w:rsid w:val="00354C72"/>
    <w:rsid w:val="00355247"/>
    <w:rsid w:val="00364599"/>
    <w:rsid w:val="003647E6"/>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7ECB"/>
    <w:rsid w:val="0040065B"/>
    <w:rsid w:val="004007AF"/>
    <w:rsid w:val="00403B2E"/>
    <w:rsid w:val="004043F6"/>
    <w:rsid w:val="00406D11"/>
    <w:rsid w:val="00416575"/>
    <w:rsid w:val="00426AAE"/>
    <w:rsid w:val="00431B23"/>
    <w:rsid w:val="00431FF8"/>
    <w:rsid w:val="00432410"/>
    <w:rsid w:val="00433274"/>
    <w:rsid w:val="00437541"/>
    <w:rsid w:val="00437D51"/>
    <w:rsid w:val="00441605"/>
    <w:rsid w:val="004422BF"/>
    <w:rsid w:val="004455CF"/>
    <w:rsid w:val="00445FAC"/>
    <w:rsid w:val="00457DD4"/>
    <w:rsid w:val="0046077E"/>
    <w:rsid w:val="004647AE"/>
    <w:rsid w:val="0046488C"/>
    <w:rsid w:val="00464DEE"/>
    <w:rsid w:val="00467A47"/>
    <w:rsid w:val="0047143A"/>
    <w:rsid w:val="004740C5"/>
    <w:rsid w:val="0047457A"/>
    <w:rsid w:val="0047645E"/>
    <w:rsid w:val="004811DB"/>
    <w:rsid w:val="00483A61"/>
    <w:rsid w:val="004879FB"/>
    <w:rsid w:val="004921D5"/>
    <w:rsid w:val="004972BC"/>
    <w:rsid w:val="004973D6"/>
    <w:rsid w:val="00497CD9"/>
    <w:rsid w:val="004A0CFF"/>
    <w:rsid w:val="004A46C7"/>
    <w:rsid w:val="004A5FA5"/>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3683"/>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03DF"/>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31D0"/>
    <w:rsid w:val="006352FA"/>
    <w:rsid w:val="00635531"/>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7642B"/>
    <w:rsid w:val="00684028"/>
    <w:rsid w:val="006876AF"/>
    <w:rsid w:val="0069387D"/>
    <w:rsid w:val="00695831"/>
    <w:rsid w:val="00695C69"/>
    <w:rsid w:val="00696221"/>
    <w:rsid w:val="006A2B1B"/>
    <w:rsid w:val="006A37BC"/>
    <w:rsid w:val="006A4048"/>
    <w:rsid w:val="006A42DA"/>
    <w:rsid w:val="006A43B7"/>
    <w:rsid w:val="006B1494"/>
    <w:rsid w:val="006B32DC"/>
    <w:rsid w:val="006B3778"/>
    <w:rsid w:val="006B7225"/>
    <w:rsid w:val="006C4605"/>
    <w:rsid w:val="006C6592"/>
    <w:rsid w:val="006D05EF"/>
    <w:rsid w:val="006D0A0B"/>
    <w:rsid w:val="006D1224"/>
    <w:rsid w:val="006D3F69"/>
    <w:rsid w:val="006D468D"/>
    <w:rsid w:val="006D58A3"/>
    <w:rsid w:val="006D5D16"/>
    <w:rsid w:val="006E095B"/>
    <w:rsid w:val="006E257D"/>
    <w:rsid w:val="006E4B0E"/>
    <w:rsid w:val="006F0298"/>
    <w:rsid w:val="006F4850"/>
    <w:rsid w:val="006F48A8"/>
    <w:rsid w:val="006F670C"/>
    <w:rsid w:val="007001F1"/>
    <w:rsid w:val="00703210"/>
    <w:rsid w:val="00705999"/>
    <w:rsid w:val="00711859"/>
    <w:rsid w:val="00713BD2"/>
    <w:rsid w:val="00713D1C"/>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57A8E"/>
    <w:rsid w:val="00763DC7"/>
    <w:rsid w:val="007674AA"/>
    <w:rsid w:val="00767E16"/>
    <w:rsid w:val="007709D5"/>
    <w:rsid w:val="0077114C"/>
    <w:rsid w:val="007754AE"/>
    <w:rsid w:val="00776430"/>
    <w:rsid w:val="00776661"/>
    <w:rsid w:val="0078286C"/>
    <w:rsid w:val="00783814"/>
    <w:rsid w:val="00783ECC"/>
    <w:rsid w:val="00784F04"/>
    <w:rsid w:val="00786985"/>
    <w:rsid w:val="00792814"/>
    <w:rsid w:val="00796619"/>
    <w:rsid w:val="007970A2"/>
    <w:rsid w:val="00797AD2"/>
    <w:rsid w:val="007B0ABC"/>
    <w:rsid w:val="007B42B0"/>
    <w:rsid w:val="007C27D0"/>
    <w:rsid w:val="007C79D7"/>
    <w:rsid w:val="007C7D94"/>
    <w:rsid w:val="007D2353"/>
    <w:rsid w:val="007E0BA4"/>
    <w:rsid w:val="007E3EDF"/>
    <w:rsid w:val="007F1FD3"/>
    <w:rsid w:val="007F2ABA"/>
    <w:rsid w:val="007F538E"/>
    <w:rsid w:val="007F5E9B"/>
    <w:rsid w:val="00800860"/>
    <w:rsid w:val="008013DB"/>
    <w:rsid w:val="00801840"/>
    <w:rsid w:val="00801A05"/>
    <w:rsid w:val="0080439D"/>
    <w:rsid w:val="008052AD"/>
    <w:rsid w:val="00813783"/>
    <w:rsid w:val="00814072"/>
    <w:rsid w:val="00814154"/>
    <w:rsid w:val="00815104"/>
    <w:rsid w:val="00815CAA"/>
    <w:rsid w:val="0081680F"/>
    <w:rsid w:val="00816C77"/>
    <w:rsid w:val="00821D29"/>
    <w:rsid w:val="00824457"/>
    <w:rsid w:val="00827475"/>
    <w:rsid w:val="0082783F"/>
    <w:rsid w:val="008321A1"/>
    <w:rsid w:val="00832608"/>
    <w:rsid w:val="0083766D"/>
    <w:rsid w:val="0084063E"/>
    <w:rsid w:val="00844C9D"/>
    <w:rsid w:val="0084564D"/>
    <w:rsid w:val="008557DF"/>
    <w:rsid w:val="00855960"/>
    <w:rsid w:val="008603CF"/>
    <w:rsid w:val="00862F06"/>
    <w:rsid w:val="00864CA5"/>
    <w:rsid w:val="0086519E"/>
    <w:rsid w:val="008651B9"/>
    <w:rsid w:val="0086658F"/>
    <w:rsid w:val="0087207F"/>
    <w:rsid w:val="00872B46"/>
    <w:rsid w:val="00873515"/>
    <w:rsid w:val="0087486F"/>
    <w:rsid w:val="008838DD"/>
    <w:rsid w:val="00883CDA"/>
    <w:rsid w:val="00887059"/>
    <w:rsid w:val="00891401"/>
    <w:rsid w:val="00894904"/>
    <w:rsid w:val="00894AF7"/>
    <w:rsid w:val="00897353"/>
    <w:rsid w:val="008A54B3"/>
    <w:rsid w:val="008A7DFE"/>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2FE6"/>
    <w:rsid w:val="008E7535"/>
    <w:rsid w:val="008E79D3"/>
    <w:rsid w:val="008F0886"/>
    <w:rsid w:val="008F3168"/>
    <w:rsid w:val="008F3AA0"/>
    <w:rsid w:val="00901658"/>
    <w:rsid w:val="0090437E"/>
    <w:rsid w:val="0090731F"/>
    <w:rsid w:val="00907DE8"/>
    <w:rsid w:val="00912C9E"/>
    <w:rsid w:val="00916657"/>
    <w:rsid w:val="00916673"/>
    <w:rsid w:val="009209E4"/>
    <w:rsid w:val="00921306"/>
    <w:rsid w:val="00921787"/>
    <w:rsid w:val="009227E1"/>
    <w:rsid w:val="009257DD"/>
    <w:rsid w:val="00927320"/>
    <w:rsid w:val="00927E04"/>
    <w:rsid w:val="009325C5"/>
    <w:rsid w:val="00932D2E"/>
    <w:rsid w:val="00934C26"/>
    <w:rsid w:val="00936791"/>
    <w:rsid w:val="00937C33"/>
    <w:rsid w:val="00942607"/>
    <w:rsid w:val="00945F7F"/>
    <w:rsid w:val="009470DF"/>
    <w:rsid w:val="009477C7"/>
    <w:rsid w:val="009519BA"/>
    <w:rsid w:val="00954316"/>
    <w:rsid w:val="00955BB3"/>
    <w:rsid w:val="009563A3"/>
    <w:rsid w:val="00956993"/>
    <w:rsid w:val="009577B4"/>
    <w:rsid w:val="009610B8"/>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865AE"/>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6841"/>
    <w:rsid w:val="009A7F9B"/>
    <w:rsid w:val="009B40C7"/>
    <w:rsid w:val="009B4C15"/>
    <w:rsid w:val="009C3D48"/>
    <w:rsid w:val="009C3FE8"/>
    <w:rsid w:val="009D4C75"/>
    <w:rsid w:val="009E0D0D"/>
    <w:rsid w:val="009E1E26"/>
    <w:rsid w:val="009E32BC"/>
    <w:rsid w:val="009E55E9"/>
    <w:rsid w:val="009F1FAA"/>
    <w:rsid w:val="009F4FB0"/>
    <w:rsid w:val="009F5552"/>
    <w:rsid w:val="00A01D08"/>
    <w:rsid w:val="00A07B0B"/>
    <w:rsid w:val="00A12EC0"/>
    <w:rsid w:val="00A15C22"/>
    <w:rsid w:val="00A206D9"/>
    <w:rsid w:val="00A217DF"/>
    <w:rsid w:val="00A343E7"/>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40D"/>
    <w:rsid w:val="00A8066F"/>
    <w:rsid w:val="00A841AA"/>
    <w:rsid w:val="00A84B49"/>
    <w:rsid w:val="00A85032"/>
    <w:rsid w:val="00A862D0"/>
    <w:rsid w:val="00A8646F"/>
    <w:rsid w:val="00A909E1"/>
    <w:rsid w:val="00A95C64"/>
    <w:rsid w:val="00AA0FE5"/>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7F8"/>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AF0"/>
    <w:rsid w:val="00B5412F"/>
    <w:rsid w:val="00B579BE"/>
    <w:rsid w:val="00B60004"/>
    <w:rsid w:val="00B61255"/>
    <w:rsid w:val="00B619BC"/>
    <w:rsid w:val="00B65017"/>
    <w:rsid w:val="00B6674B"/>
    <w:rsid w:val="00B670ED"/>
    <w:rsid w:val="00B677D3"/>
    <w:rsid w:val="00B703FD"/>
    <w:rsid w:val="00B70911"/>
    <w:rsid w:val="00B73214"/>
    <w:rsid w:val="00B74197"/>
    <w:rsid w:val="00B76C3E"/>
    <w:rsid w:val="00B82B5D"/>
    <w:rsid w:val="00B8609F"/>
    <w:rsid w:val="00B90512"/>
    <w:rsid w:val="00B9079A"/>
    <w:rsid w:val="00B917AA"/>
    <w:rsid w:val="00B92242"/>
    <w:rsid w:val="00B948CF"/>
    <w:rsid w:val="00B94F8A"/>
    <w:rsid w:val="00B96EA3"/>
    <w:rsid w:val="00B97F8B"/>
    <w:rsid w:val="00BA010A"/>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0E3"/>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3C61"/>
    <w:rsid w:val="00C84108"/>
    <w:rsid w:val="00C8494B"/>
    <w:rsid w:val="00C8577F"/>
    <w:rsid w:val="00C9008E"/>
    <w:rsid w:val="00C93350"/>
    <w:rsid w:val="00CA3753"/>
    <w:rsid w:val="00CA3E3B"/>
    <w:rsid w:val="00CA5D53"/>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271B9"/>
    <w:rsid w:val="00D30948"/>
    <w:rsid w:val="00D3274A"/>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40F3"/>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53F2"/>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26D5F"/>
    <w:rsid w:val="00E31AEA"/>
    <w:rsid w:val="00E40717"/>
    <w:rsid w:val="00E42B82"/>
    <w:rsid w:val="00E459FB"/>
    <w:rsid w:val="00E45E30"/>
    <w:rsid w:val="00E501A9"/>
    <w:rsid w:val="00E52B0E"/>
    <w:rsid w:val="00E54E1A"/>
    <w:rsid w:val="00E56488"/>
    <w:rsid w:val="00E56F49"/>
    <w:rsid w:val="00E578DF"/>
    <w:rsid w:val="00E603E1"/>
    <w:rsid w:val="00E660E0"/>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670"/>
    <w:rsid w:val="00F06AAB"/>
    <w:rsid w:val="00F075D2"/>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2A56"/>
    <w:rsid w:val="00F43DB8"/>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25CE"/>
    <w:rsid w:val="00F95A2C"/>
    <w:rsid w:val="00F97F6A"/>
    <w:rsid w:val="00FA4CC2"/>
    <w:rsid w:val="00FA6643"/>
    <w:rsid w:val="00FC1FF6"/>
    <w:rsid w:val="00FC7287"/>
    <w:rsid w:val="00FD073F"/>
    <w:rsid w:val="00FD0AFA"/>
    <w:rsid w:val="00FD2732"/>
    <w:rsid w:val="00FD5AB4"/>
    <w:rsid w:val="00FE2FD6"/>
    <w:rsid w:val="00FE32BD"/>
    <w:rsid w:val="00FF03D8"/>
    <w:rsid w:val="00FF1790"/>
    <w:rsid w:val="00FF3D3D"/>
    <w:rsid w:val="00FF5362"/>
    <w:rsid w:val="00FF5D8A"/>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E509571-6F7B-4785-B3C7-A70A47E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26576</Words>
  <Characters>15149</Characters>
  <Application>Microsoft Office Word</Application>
  <DocSecurity>0</DocSecurity>
  <Lines>126</Lines>
  <Paragraphs>83</Paragraphs>
  <ScaleCrop>false</ScaleCrop>
  <Company>AUN of PLWH</Company>
  <LinksUpToDate>false</LinksUpToDate>
  <CharactersWithSpaces>41642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111</cp:revision>
  <cp:lastPrinted>2023-07-05T23:44:00Z</cp:lastPrinted>
  <dcterms:created xsi:type="dcterms:W3CDTF">2024-10-29T18:35:00Z</dcterms:created>
  <dcterms:modified xsi:type="dcterms:W3CDTF">2026-05-13T12:13:00Z</dcterms:modified>
</cp:coreProperties>
</file>