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73EDB262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EE67DE">
        <w:rPr>
          <w:b/>
          <w:sz w:val="22"/>
          <w:szCs w:val="22"/>
        </w:rPr>
        <w:t>«</w:t>
      </w:r>
      <w:r w:rsidR="0086227B" w:rsidRPr="00EE67DE">
        <w:rPr>
          <w:b/>
          <w:sz w:val="22"/>
          <w:szCs w:val="22"/>
        </w:rPr>
        <w:t>2</w:t>
      </w:r>
      <w:r w:rsidR="00B046DE" w:rsidRPr="00EE67DE">
        <w:rPr>
          <w:b/>
          <w:sz w:val="22"/>
          <w:szCs w:val="22"/>
        </w:rPr>
        <w:t>2</w:t>
      </w:r>
      <w:r w:rsidR="005A5F8A" w:rsidRPr="00EE67DE">
        <w:rPr>
          <w:b/>
          <w:sz w:val="22"/>
          <w:szCs w:val="22"/>
        </w:rPr>
        <w:t xml:space="preserve">» </w:t>
      </w:r>
      <w:r w:rsidR="0086227B" w:rsidRPr="00EE67DE">
        <w:rPr>
          <w:b/>
          <w:sz w:val="22"/>
          <w:szCs w:val="22"/>
        </w:rPr>
        <w:t>квітня</w:t>
      </w:r>
      <w:r w:rsidR="005A5F8A" w:rsidRPr="00EE67DE">
        <w:rPr>
          <w:b/>
          <w:sz w:val="22"/>
          <w:szCs w:val="22"/>
        </w:rPr>
        <w:t xml:space="preserve"> 202</w:t>
      </w:r>
      <w:r w:rsidR="0086227B" w:rsidRPr="00EE67DE">
        <w:rPr>
          <w:b/>
          <w:sz w:val="22"/>
          <w:szCs w:val="22"/>
        </w:rPr>
        <w:t>6</w:t>
      </w:r>
      <w:r w:rsidR="005A5F8A" w:rsidRPr="00EE67DE">
        <w:rPr>
          <w:b/>
          <w:sz w:val="22"/>
          <w:szCs w:val="22"/>
        </w:rPr>
        <w:t xml:space="preserve"> р</w:t>
      </w:r>
      <w:r w:rsidR="00EE67DE" w:rsidRPr="00EE67DE">
        <w:rPr>
          <w:b/>
          <w:sz w:val="22"/>
          <w:szCs w:val="22"/>
        </w:rPr>
        <w:t>оку</w:t>
      </w:r>
      <w:r w:rsidR="00AB5249">
        <w:rPr>
          <w:b/>
          <w:sz w:val="22"/>
          <w:szCs w:val="22"/>
        </w:rPr>
        <w:t xml:space="preserve">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8CA0E8A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362656" w:rsidRPr="00362656">
        <w:rPr>
          <w:b/>
          <w:bCs/>
          <w:sz w:val="22"/>
          <w:szCs w:val="22"/>
        </w:rPr>
        <w:t>2924</w:t>
      </w:r>
      <w:r w:rsidR="00362656" w:rsidRPr="00362656">
        <w:rPr>
          <w:b/>
          <w:bCs/>
          <w:sz w:val="22"/>
          <w:szCs w:val="22"/>
          <w:lang w:val="en-US"/>
        </w:rPr>
        <w:t>NP</w:t>
      </w:r>
      <w:r w:rsidR="00AB5249" w:rsidRPr="00362656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6ECF2778" w:rsidR="004C2787" w:rsidRPr="00120CC0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>закупівлю</w:t>
      </w:r>
      <w:r w:rsidR="00120CC0" w:rsidRPr="00120CC0">
        <w:rPr>
          <w:sz w:val="22"/>
          <w:szCs w:val="22"/>
        </w:rPr>
        <w:t xml:space="preserve"> </w:t>
      </w:r>
      <w:r w:rsidR="00120CC0">
        <w:rPr>
          <w:sz w:val="22"/>
          <w:szCs w:val="22"/>
        </w:rPr>
        <w:t xml:space="preserve">морозильної камери </w:t>
      </w:r>
      <w:r w:rsidR="006035AB">
        <w:rPr>
          <w:sz w:val="22"/>
          <w:szCs w:val="22"/>
        </w:rPr>
        <w:t>з холодильною системою (збірно-розбірна)</w:t>
      </w:r>
      <w:r w:rsidR="0086227B">
        <w:rPr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787E3BF1" w14:textId="08FF625D" w:rsidR="006035AB" w:rsidRPr="00120CC0" w:rsidRDefault="006035AB" w:rsidP="006035AB">
            <w:pPr>
              <w:ind w:right="-30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Морозильна камера з холодильною системою (збірно-розбірна)</w:t>
            </w:r>
          </w:p>
          <w:p w14:paraId="5D6D90EE" w14:textId="77777777" w:rsidR="001520C0" w:rsidRPr="000B48D8" w:rsidRDefault="001520C0" w:rsidP="00860E5D">
            <w:pPr>
              <w:ind w:right="92"/>
              <w:rPr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F5DE3BC" w14:textId="246C0724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6035AB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178EE4C4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6035AB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97581E">
              <w:rPr>
                <w:bCs/>
                <w:spacing w:val="-6"/>
                <w:sz w:val="22"/>
                <w:szCs w:val="22"/>
              </w:rPr>
              <w:t xml:space="preserve">та Додатку 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462D1D78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6035AB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03451927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B30A98" w:rsidRPr="00872806">
        <w:rPr>
          <w:b/>
          <w:i/>
          <w:iCs/>
          <w:sz w:val="22"/>
          <w:szCs w:val="22"/>
        </w:rPr>
        <w:t>Доставка та монтаж здійснюються відповідно до розподілу Додатк</w:t>
      </w:r>
      <w:r w:rsidR="00872806" w:rsidRPr="00872806">
        <w:rPr>
          <w:b/>
          <w:i/>
          <w:iCs/>
          <w:sz w:val="22"/>
          <w:szCs w:val="22"/>
        </w:rPr>
        <w:t>у№ 3</w:t>
      </w:r>
      <w:r w:rsidR="00B30A98" w:rsidRPr="00872806">
        <w:rPr>
          <w:b/>
          <w:i/>
          <w:iCs/>
          <w:sz w:val="22"/>
          <w:szCs w:val="22"/>
        </w:rPr>
        <w:t xml:space="preserve"> за рахунок постачальника</w:t>
      </w:r>
      <w:r w:rsidR="00C63739" w:rsidRPr="00872806">
        <w:rPr>
          <w:b/>
          <w:i/>
          <w:iCs/>
          <w:sz w:val="22"/>
          <w:szCs w:val="22"/>
        </w:rPr>
        <w:t>.</w:t>
      </w:r>
      <w:r w:rsidR="001C3132">
        <w:rPr>
          <w:bCs/>
          <w:i/>
          <w:iCs/>
          <w:color w:val="747474"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E96185">
        <w:trPr>
          <w:trHeight w:val="462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3B1D1471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</w:p>
        </w:tc>
        <w:tc>
          <w:tcPr>
            <w:tcW w:w="4521" w:type="dxa"/>
          </w:tcPr>
          <w:p w14:paraId="7C067823" w14:textId="2585CAD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</w:t>
            </w:r>
            <w:r w:rsidR="00DB6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   </w:t>
            </w:r>
            <w:r w:rsidR="005E5C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холодильну установу, сендвіч панелі, дверного блоку</w:t>
            </w:r>
            <w:r w:rsidR="006C52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шляхом надання одного або декількох документів, а саме:</w:t>
            </w:r>
          </w:p>
          <w:p w14:paraId="1F3BDEAD" w14:textId="77777777" w:rsidR="00567039" w:rsidRPr="00376FCA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FCA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376FCA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FCA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376FCA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FCA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Pr="00376FCA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FCA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3A51187A" w14:textId="06A872BA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гарантію про надання відповідних сертифікатів при поставці товару на відповідні партії товару</w:t>
            </w:r>
            <w:r w:rsidR="00A51A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4862E62D" w:rsidR="005C33EB" w:rsidRPr="00251658" w:rsidRDefault="005C33E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8C1953">
              <w:rPr>
                <w:rFonts w:ascii="Times New Roman" w:hAnsi="Times New Roman" w:cs="Times New Roman"/>
                <w:sz w:val="22"/>
                <w:szCs w:val="22"/>
              </w:rPr>
              <w:t>2023,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195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 xml:space="preserve"> та 2025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02D70" w:rsidRPr="00602D7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557A29" w14:paraId="7BA5A590" w14:textId="77777777" w:rsidTr="00A86E98">
        <w:trPr>
          <w:trHeight w:val="96"/>
        </w:trPr>
        <w:tc>
          <w:tcPr>
            <w:tcW w:w="567" w:type="dxa"/>
            <w:vAlign w:val="center"/>
          </w:tcPr>
          <w:p w14:paraId="6694A1F9" w14:textId="4598C578" w:rsidR="005C33EB" w:rsidRPr="00C90F7C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C3317AD" w14:textId="03DD460E" w:rsidR="005C33EB" w:rsidRPr="00C90F7C" w:rsidRDefault="004C0612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90F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Гарантійний лист про товар</w:t>
            </w:r>
          </w:p>
        </w:tc>
        <w:tc>
          <w:tcPr>
            <w:tcW w:w="4521" w:type="dxa"/>
          </w:tcPr>
          <w:p w14:paraId="7FCD2231" w14:textId="34D46071" w:rsidR="005C33EB" w:rsidRPr="009856D2" w:rsidRDefault="00697083" w:rsidP="002532A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97083">
              <w:rPr>
                <w:rFonts w:ascii="Times New Roman" w:hAnsi="Times New Roman" w:cs="Times New Roman"/>
                <w:sz w:val="22"/>
                <w:szCs w:val="22"/>
              </w:rPr>
              <w:t>апропонований товар є новим і таким, що не був у використанні.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8355EE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8355EE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44CDCF31" w14:textId="17EF94A6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8355EE">
        <w:rPr>
          <w:rFonts w:eastAsia="Arial Unicode MS"/>
          <w:sz w:val="22"/>
          <w:szCs w:val="22"/>
        </w:rPr>
        <w:t xml:space="preserve">Додатку </w:t>
      </w:r>
      <w:r w:rsidR="00A63842" w:rsidRPr="008355EE">
        <w:rPr>
          <w:rFonts w:eastAsia="Arial Unicode MS"/>
          <w:sz w:val="22"/>
          <w:szCs w:val="22"/>
        </w:rPr>
        <w:t>№</w:t>
      </w:r>
      <w:r w:rsidR="00A1506A" w:rsidRPr="008355EE">
        <w:rPr>
          <w:rFonts w:eastAsia="Arial Unicode MS"/>
          <w:sz w:val="22"/>
          <w:szCs w:val="22"/>
        </w:rPr>
        <w:t xml:space="preserve"> 2</w:t>
      </w:r>
      <w:r w:rsidR="005A5F8A" w:rsidRPr="008355EE">
        <w:rPr>
          <w:rFonts w:eastAsia="Arial Unicode MS"/>
          <w:sz w:val="22"/>
          <w:szCs w:val="22"/>
        </w:rPr>
        <w:t>.</w:t>
      </w:r>
      <w:r w:rsidR="00FD1BA5" w:rsidRPr="008355EE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7CE9B99C" w:rsidR="00D07D87" w:rsidRPr="009140B6" w:rsidRDefault="00430C7A" w:rsidP="003D2134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lastRenderedPageBreak/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</w:t>
      </w:r>
      <w:r w:rsidR="00D07D87" w:rsidRPr="008355EE">
        <w:rPr>
          <w:sz w:val="22"/>
          <w:szCs w:val="22"/>
        </w:rPr>
        <w:t xml:space="preserve">надати фото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1BC1490D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55628945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1506A">
        <w:rPr>
          <w:color w:val="000000"/>
          <w:sz w:val="22"/>
          <w:szCs w:val="22"/>
          <w:lang w:eastAsia="uk-UA"/>
        </w:rPr>
        <w:t xml:space="preserve"> 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22508B57" w14:textId="77777777" w:rsidR="00C11853" w:rsidRPr="00C11853" w:rsidRDefault="00511A8B" w:rsidP="00C11853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</w:p>
    <w:p w14:paraId="20D164FB" w14:textId="1160A248" w:rsidR="00BC28B0" w:rsidRPr="0082116F" w:rsidRDefault="00C11853" w:rsidP="00C11853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C11853">
        <w:rPr>
          <w:color w:val="000000"/>
          <w:sz w:val="22"/>
          <w:szCs w:val="22"/>
          <w:lang w:eastAsia="uk-UA"/>
        </w:rPr>
        <w:t xml:space="preserve">З переможцем закупівлі підписуються </w:t>
      </w:r>
      <w:r w:rsidR="00FD09A2">
        <w:rPr>
          <w:color w:val="000000"/>
          <w:sz w:val="22"/>
          <w:szCs w:val="22"/>
          <w:lang w:eastAsia="uk-UA"/>
        </w:rPr>
        <w:t xml:space="preserve">чотирьох </w:t>
      </w:r>
      <w:r w:rsidRPr="00C11853">
        <w:rPr>
          <w:color w:val="000000"/>
          <w:sz w:val="22"/>
          <w:szCs w:val="22"/>
          <w:lang w:eastAsia="uk-UA"/>
        </w:rPr>
        <w:t>тристоронні</w:t>
      </w:r>
      <w:r w:rsidR="00FD09A2">
        <w:rPr>
          <w:color w:val="000000"/>
          <w:sz w:val="22"/>
          <w:szCs w:val="22"/>
          <w:lang w:eastAsia="uk-UA"/>
        </w:rPr>
        <w:t>й</w:t>
      </w:r>
      <w:r w:rsidRPr="00C11853">
        <w:rPr>
          <w:color w:val="000000"/>
          <w:sz w:val="22"/>
          <w:szCs w:val="22"/>
          <w:lang w:eastAsia="uk-UA"/>
        </w:rPr>
        <w:t xml:space="preserve"> договори</w:t>
      </w:r>
      <w:r w:rsidR="0082116F">
        <w:rPr>
          <w:color w:val="000000"/>
          <w:sz w:val="22"/>
          <w:szCs w:val="22"/>
          <w:lang w:eastAsia="uk-UA"/>
        </w:rPr>
        <w:t xml:space="preserve"> </w:t>
      </w:r>
      <w:r w:rsidR="0082116F" w:rsidRPr="0082116F">
        <w:rPr>
          <w:b/>
          <w:bCs/>
          <w:color w:val="000000" w:themeColor="text1"/>
          <w:sz w:val="22"/>
          <w:szCs w:val="22"/>
        </w:rPr>
        <w:t>відповідно до розподілу</w:t>
      </w:r>
      <w:r w:rsidR="0082116F">
        <w:rPr>
          <w:b/>
          <w:bCs/>
          <w:color w:val="000000" w:themeColor="text1"/>
          <w:sz w:val="22"/>
          <w:szCs w:val="22"/>
        </w:rPr>
        <w:t xml:space="preserve"> Додатку №3</w:t>
      </w:r>
      <w:r w:rsidRPr="0082116F">
        <w:rPr>
          <w:color w:val="000000" w:themeColor="text1"/>
          <w:sz w:val="22"/>
          <w:szCs w:val="22"/>
          <w:lang w:eastAsia="uk-UA"/>
        </w:rPr>
        <w:t>.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531F3CB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A1506A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5F22ACD5" w:rsidR="00564164" w:rsidRPr="00521964" w:rsidRDefault="00564164" w:rsidP="0063016D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="0063016D">
        <w:rPr>
          <w:rFonts w:ascii="Times New Roman" w:eastAsia="Times New Roman" w:hAnsi="Times New Roman" w:cs="Times New Roman"/>
          <w:sz w:val="22"/>
          <w:szCs w:val="22"/>
        </w:rPr>
        <w:t xml:space="preserve"> та </w:t>
      </w:r>
      <w:r w:rsidR="0063016D" w:rsidRPr="00521964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згода з</w:t>
      </w:r>
      <w:r w:rsidR="00590577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proofErr w:type="spellStart"/>
      <w:r w:rsidR="0063016D" w:rsidRPr="00521964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проектом</w:t>
      </w:r>
      <w:proofErr w:type="spellEnd"/>
      <w:r w:rsidR="0063016D" w:rsidRPr="00521964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r w:rsidR="009A4971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чотирьох</w:t>
      </w:r>
      <w:r w:rsidR="007152AC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r w:rsidR="0063016D" w:rsidRPr="00521964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тристороннього договору</w:t>
      </w:r>
      <w:r w:rsidR="007152AC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відповідно до розподілу</w:t>
      </w:r>
      <w:r w:rsidR="0082116F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Додатку 3</w:t>
      </w:r>
      <w:r w:rsidRPr="00521964">
        <w:rPr>
          <w:rFonts w:ascii="Times New Roman" w:eastAsia="Times New Roman" w:hAnsi="Times New Roman" w:cs="Times New Roman"/>
          <w:color w:val="EE0000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4B9F49E5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46100">
        <w:rPr>
          <w:b/>
          <w:bCs/>
          <w:sz w:val="22"/>
          <w:szCs w:val="22"/>
          <w:highlight w:val="yellow"/>
        </w:rPr>
        <w:t xml:space="preserve">до 18:00 </w:t>
      </w:r>
      <w:r w:rsidR="00DF60A1" w:rsidRPr="00B46100">
        <w:rPr>
          <w:b/>
          <w:bCs/>
          <w:sz w:val="22"/>
          <w:szCs w:val="22"/>
          <w:highlight w:val="yellow"/>
        </w:rPr>
        <w:t>«</w:t>
      </w:r>
      <w:r w:rsidR="004772A6">
        <w:rPr>
          <w:b/>
          <w:bCs/>
          <w:sz w:val="22"/>
          <w:szCs w:val="22"/>
          <w:highlight w:val="yellow"/>
        </w:rPr>
        <w:t>04</w:t>
      </w:r>
      <w:r w:rsidR="00DF60A1" w:rsidRPr="00B46100">
        <w:rPr>
          <w:b/>
          <w:bCs/>
          <w:sz w:val="22"/>
          <w:szCs w:val="22"/>
          <w:highlight w:val="yellow"/>
        </w:rPr>
        <w:t>»</w:t>
      </w:r>
      <w:r w:rsidR="003A0820" w:rsidRPr="00B046DE">
        <w:rPr>
          <w:b/>
          <w:bCs/>
          <w:sz w:val="22"/>
          <w:szCs w:val="22"/>
          <w:highlight w:val="yellow"/>
          <w:lang w:val="ru-RU"/>
        </w:rPr>
        <w:t xml:space="preserve"> </w:t>
      </w:r>
      <w:r w:rsidR="003A0820" w:rsidRPr="003A0820">
        <w:rPr>
          <w:b/>
          <w:bCs/>
          <w:sz w:val="22"/>
          <w:szCs w:val="22"/>
          <w:highlight w:val="yellow"/>
        </w:rPr>
        <w:t>травня</w:t>
      </w:r>
      <w:r w:rsidR="00DF60A1" w:rsidRPr="003A0820">
        <w:rPr>
          <w:b/>
          <w:bCs/>
          <w:sz w:val="22"/>
          <w:szCs w:val="22"/>
          <w:highlight w:val="yellow"/>
        </w:rPr>
        <w:t xml:space="preserve"> 202</w:t>
      </w:r>
      <w:r w:rsidR="003A0820" w:rsidRPr="003A0820">
        <w:rPr>
          <w:b/>
          <w:bCs/>
          <w:sz w:val="22"/>
          <w:szCs w:val="22"/>
          <w:highlight w:val="yellow"/>
        </w:rPr>
        <w:t>6</w:t>
      </w:r>
      <w:r w:rsidR="00DF60A1" w:rsidRPr="003A0820">
        <w:rPr>
          <w:b/>
          <w:bCs/>
          <w:sz w:val="22"/>
          <w:szCs w:val="22"/>
          <w:highlight w:val="yellow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633D8EE1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CC7D16">
        <w:rPr>
          <w:b/>
          <w:sz w:val="22"/>
          <w:szCs w:val="22"/>
          <w:highlight w:val="yellow"/>
        </w:rPr>
        <w:t>«</w:t>
      </w:r>
      <w:r w:rsidR="004772A6">
        <w:rPr>
          <w:b/>
          <w:sz w:val="22"/>
          <w:szCs w:val="22"/>
          <w:highlight w:val="yellow"/>
        </w:rPr>
        <w:t>05</w:t>
      </w:r>
      <w:r w:rsidRPr="00CC7D16">
        <w:rPr>
          <w:b/>
          <w:sz w:val="22"/>
          <w:szCs w:val="22"/>
          <w:highlight w:val="yellow"/>
        </w:rPr>
        <w:t>»</w:t>
      </w:r>
      <w:r w:rsidR="003A0820">
        <w:rPr>
          <w:b/>
          <w:sz w:val="22"/>
          <w:szCs w:val="22"/>
          <w:highlight w:val="yellow"/>
        </w:rPr>
        <w:t>травня</w:t>
      </w:r>
      <w:r w:rsidRPr="00CC7D16">
        <w:rPr>
          <w:b/>
          <w:sz w:val="22"/>
          <w:szCs w:val="22"/>
          <w:highlight w:val="yellow"/>
        </w:rPr>
        <w:t xml:space="preserve"> </w:t>
      </w:r>
      <w:r w:rsidRPr="003A0820">
        <w:rPr>
          <w:b/>
          <w:sz w:val="22"/>
          <w:szCs w:val="22"/>
          <w:highlight w:val="yellow"/>
        </w:rPr>
        <w:t>202</w:t>
      </w:r>
      <w:r w:rsidR="003A0820" w:rsidRPr="003A0820">
        <w:rPr>
          <w:b/>
          <w:sz w:val="22"/>
          <w:szCs w:val="22"/>
          <w:highlight w:val="yellow"/>
        </w:rPr>
        <w:t>6</w:t>
      </w:r>
      <w:r w:rsidRPr="003A0820">
        <w:rPr>
          <w:b/>
          <w:sz w:val="22"/>
          <w:szCs w:val="22"/>
          <w:highlight w:val="yellow"/>
        </w:rPr>
        <w:t xml:space="preserve"> року</w:t>
      </w:r>
      <w:r w:rsidR="00352467" w:rsidRPr="003A0820">
        <w:rPr>
          <w:b/>
          <w:sz w:val="22"/>
          <w:szCs w:val="22"/>
          <w:highlight w:val="yellow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609585DE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4772A6">
        <w:rPr>
          <w:b/>
          <w:sz w:val="22"/>
          <w:szCs w:val="22"/>
        </w:rPr>
        <w:t>06</w:t>
      </w:r>
      <w:r w:rsidRPr="00557A29">
        <w:rPr>
          <w:b/>
          <w:sz w:val="22"/>
          <w:szCs w:val="22"/>
        </w:rPr>
        <w:t>»</w:t>
      </w:r>
      <w:r w:rsidR="0086227B">
        <w:rPr>
          <w:b/>
          <w:sz w:val="22"/>
          <w:szCs w:val="22"/>
        </w:rPr>
        <w:t>травня</w:t>
      </w:r>
      <w:r w:rsidRPr="00557A29">
        <w:rPr>
          <w:b/>
          <w:sz w:val="22"/>
          <w:szCs w:val="22"/>
        </w:rPr>
        <w:t xml:space="preserve"> 202</w:t>
      </w:r>
      <w:r w:rsidR="0086227B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lastRenderedPageBreak/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64DF21B7" w:rsidR="002D164F" w:rsidRPr="00A1506A" w:rsidRDefault="002D164F" w:rsidP="00A1506A">
      <w:pPr>
        <w:ind w:right="-306"/>
        <w:rPr>
          <w:spacing w:val="-4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A1506A" w:rsidRPr="00A1506A">
        <w:rPr>
          <w:b/>
          <w:color w:val="FF0000"/>
          <w:sz w:val="22"/>
          <w:szCs w:val="22"/>
          <w:lang w:val="ru-RU"/>
        </w:rPr>
        <w:t>2924</w:t>
      </w:r>
      <w:r w:rsidR="00A1506A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="00A1506A" w:rsidRPr="00A1506A">
        <w:rPr>
          <w:sz w:val="22"/>
          <w:szCs w:val="22"/>
        </w:rPr>
        <w:t xml:space="preserve"> </w:t>
      </w:r>
      <w:r w:rsidR="00A1506A">
        <w:rPr>
          <w:sz w:val="22"/>
          <w:szCs w:val="22"/>
        </w:rPr>
        <w:t>Морозильна камера з холодильною системою (збірно-розбірна).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5E9F8FC3" w:rsidR="002D164F" w:rsidRPr="00A1506A" w:rsidRDefault="002D164F" w:rsidP="00A1506A">
      <w:pPr>
        <w:ind w:right="-306"/>
        <w:rPr>
          <w:spacing w:val="-4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5066A6">
        <w:rPr>
          <w:b/>
          <w:color w:val="FF0000"/>
          <w:sz w:val="22"/>
          <w:szCs w:val="22"/>
        </w:rPr>
        <w:t>2924</w:t>
      </w:r>
      <w:r w:rsidR="00A1506A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A1506A">
        <w:rPr>
          <w:sz w:val="22"/>
          <w:szCs w:val="22"/>
        </w:rPr>
        <w:t>Морозильна камера з холодильною системою (збірно-розбірна)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8355EE" w:rsidRDefault="002D164F" w:rsidP="002D164F">
      <w:pPr>
        <w:ind w:firstLine="426"/>
        <w:rPr>
          <w:rFonts w:ascii="Sabon Next LT" w:hAnsi="Sabon Next LT" w:cs="Sabon Next LT"/>
          <w:b/>
          <w:sz w:val="22"/>
          <w:szCs w:val="22"/>
        </w:rPr>
      </w:pPr>
      <w:r w:rsidRPr="008355EE">
        <w:rPr>
          <w:rFonts w:ascii="Sabon Next LT" w:hAnsi="Sabon Next LT" w:cs="Sabon Next LT"/>
          <w:b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lastRenderedPageBreak/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2151334D" w14:textId="77777777" w:rsidR="00D90BDB" w:rsidRPr="00AC3811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C3811">
        <w:t>Учасники погоджуються, що в межах даної процедури на закупівлю Замовник, керуючись положеннями  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C3811">
          <w:rPr>
            <w:rStyle w:val="ab"/>
          </w:rPr>
          <w:t>2 CFR 200.322</w:t>
        </w:r>
      </w:hyperlink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C3811">
          <w:rPr>
            <w:rStyle w:val="ab"/>
          </w:rPr>
          <w:t>,</w:t>
        </w:r>
      </w:hyperlink>
      <w:r w:rsidRPr="00AC3811">
        <w:t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0A8CC452" w14:textId="7CAA0365" w:rsidR="000B6E25" w:rsidRPr="00AC3811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C3811">
        <w:t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</w:t>
      </w:r>
      <w:proofErr w:type="spellStart"/>
      <w:r w:rsidRPr="00AC3811">
        <w:t>flow-down</w:t>
      </w:r>
      <w:proofErr w:type="spellEnd"/>
      <w:r w:rsidRPr="00AC3811">
        <w:t>) федеральних стандартів Уряду США на всіх рівнях виконання, відповідно до вимог </w:t>
      </w:r>
      <w:hyperlink r:id="rId17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AC3811">
          <w:rPr>
            <w:rStyle w:val="ab"/>
          </w:rPr>
          <w:t>2 CFR 200.327</w:t>
        </w:r>
      </w:hyperlink>
      <w:r w:rsidRPr="00AC3811">
        <w:t>  </w:t>
      </w:r>
      <w:proofErr w:type="spellStart"/>
      <w:r>
        <w:fldChar w:fldCharType="begin"/>
      </w:r>
      <w:r>
        <w:instrText>HYPERLINK "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" \o "Вихідна URL-адреса: https://www.ecfr.gov/current/title-2/subtitle-A/chapter-II/part-200/appendix-Appendix%20II%20to%20Part%20200. Клацніть або торкніться, якщо ви довіряєте цьому посиланню."</w:instrText>
      </w:r>
      <w:r>
        <w:fldChar w:fldCharType="separate"/>
      </w:r>
      <w:r w:rsidRPr="00AC3811">
        <w:rPr>
          <w:rStyle w:val="ab"/>
        </w:rPr>
        <w:t>Appendix</w:t>
      </w:r>
      <w:proofErr w:type="spellEnd"/>
      <w:r w:rsidRPr="00AC3811">
        <w:rPr>
          <w:rStyle w:val="ab"/>
        </w:rPr>
        <w:t xml:space="preserve"> II </w:t>
      </w:r>
      <w:proofErr w:type="spellStart"/>
      <w:r w:rsidRPr="00AC3811">
        <w:rPr>
          <w:rStyle w:val="ab"/>
        </w:rPr>
        <w:t>to</w:t>
      </w:r>
      <w:proofErr w:type="spellEnd"/>
      <w:r w:rsidRPr="00AC3811">
        <w:rPr>
          <w:rStyle w:val="ab"/>
        </w:rPr>
        <w:t xml:space="preserve"> </w:t>
      </w:r>
      <w:proofErr w:type="spellStart"/>
      <w:r w:rsidRPr="00AC3811">
        <w:rPr>
          <w:rStyle w:val="ab"/>
        </w:rPr>
        <w:t>Part</w:t>
      </w:r>
      <w:proofErr w:type="spellEnd"/>
      <w:r w:rsidRPr="00AC3811">
        <w:rPr>
          <w:rStyle w:val="ab"/>
        </w:rPr>
        <w:t xml:space="preserve"> 200</w:t>
      </w:r>
      <w:r>
        <w:fldChar w:fldCharType="end"/>
      </w:r>
      <w:r w:rsidRPr="00AC3811"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8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22AC1D6" w:rsidR="001753C8" w:rsidRDefault="00A6690A" w:rsidP="00AC381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01FDBDC0" w:rsidR="00A6690A" w:rsidRPr="00BA79E0" w:rsidRDefault="00AC3811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ab/>
      </w:r>
      <w:r w:rsidR="00A6690A"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="00A6690A"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="00A6690A"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="00A6690A"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="00A6690A"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="00A6690A"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="00A6690A"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 xml:space="preserve">их пропозицій не </w:t>
      </w:r>
      <w:r w:rsidRPr="00A3721F">
        <w:rPr>
          <w:i/>
          <w:iCs/>
          <w:spacing w:val="-4"/>
          <w:sz w:val="22"/>
          <w:szCs w:val="22"/>
        </w:rPr>
        <w:lastRenderedPageBreak/>
        <w:t>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0A578CA2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AC3811">
        <w:rPr>
          <w:i/>
          <w:sz w:val="22"/>
          <w:szCs w:val="22"/>
        </w:rPr>
        <w:t>Голова тендерного комітету</w:t>
      </w:r>
      <w:r w:rsidRPr="00AC3811">
        <w:rPr>
          <w:i/>
          <w:sz w:val="22"/>
          <w:szCs w:val="22"/>
        </w:rPr>
        <w:tab/>
      </w:r>
      <w:r w:rsidRPr="00AC3811">
        <w:rPr>
          <w:i/>
          <w:sz w:val="22"/>
          <w:szCs w:val="22"/>
        </w:rPr>
        <w:tab/>
      </w:r>
      <w:r w:rsidR="009E6AC7" w:rsidRPr="00AC3811">
        <w:rPr>
          <w:i/>
          <w:sz w:val="22"/>
          <w:szCs w:val="22"/>
        </w:rPr>
        <w:t xml:space="preserve">                                               </w:t>
      </w:r>
      <w:r w:rsidRPr="00AC3811">
        <w:rPr>
          <w:i/>
          <w:sz w:val="22"/>
          <w:szCs w:val="22"/>
        </w:rPr>
        <w:tab/>
      </w:r>
      <w:r w:rsidR="00CC7D16" w:rsidRPr="00AC3811">
        <w:rPr>
          <w:i/>
          <w:sz w:val="22"/>
          <w:szCs w:val="22"/>
        </w:rPr>
        <w:t xml:space="preserve">____________ </w:t>
      </w:r>
      <w:proofErr w:type="spellStart"/>
      <w:r w:rsidR="00AC3811" w:rsidRPr="00AC3811">
        <w:rPr>
          <w:i/>
          <w:sz w:val="22"/>
          <w:szCs w:val="22"/>
        </w:rPr>
        <w:t>Ошовська</w:t>
      </w:r>
      <w:proofErr w:type="spellEnd"/>
      <w:r w:rsidR="00AC3811" w:rsidRPr="00AC3811">
        <w:rPr>
          <w:i/>
          <w:sz w:val="22"/>
          <w:szCs w:val="22"/>
        </w:rPr>
        <w:t xml:space="preserve">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58AD379D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A53104">
        <w:rPr>
          <w:spacing w:val="-4"/>
          <w:sz w:val="22"/>
          <w:szCs w:val="22"/>
        </w:rPr>
        <w:t>2924</w:t>
      </w:r>
      <w:r w:rsidR="00A53104">
        <w:rPr>
          <w:spacing w:val="-4"/>
          <w:sz w:val="22"/>
          <w:szCs w:val="22"/>
          <w:lang w:val="en-US"/>
        </w:rPr>
        <w:t>NP</w:t>
      </w:r>
      <w:r w:rsidR="002F614C" w:rsidRPr="000B48D8">
        <w:rPr>
          <w:spacing w:val="-4"/>
          <w:sz w:val="22"/>
          <w:szCs w:val="22"/>
        </w:rPr>
        <w:t xml:space="preserve">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BC28B0" w:rsidRDefault="00C67C6D" w:rsidP="000B129C">
      <w:pPr>
        <w:rPr>
          <w:b/>
          <w:sz w:val="22"/>
          <w:szCs w:val="22"/>
          <w:lang w:val="ru-RU"/>
        </w:rPr>
      </w:pPr>
    </w:p>
    <w:p w14:paraId="687CCF54" w14:textId="77777777" w:rsidR="00A53104" w:rsidRPr="00BC28B0" w:rsidRDefault="00A53104" w:rsidP="000B129C">
      <w:pPr>
        <w:rPr>
          <w:b/>
          <w:sz w:val="22"/>
          <w:szCs w:val="22"/>
          <w:lang w:val="ru-RU"/>
        </w:rPr>
      </w:pPr>
    </w:p>
    <w:sectPr w:rsidR="00A53104" w:rsidRPr="00BC28B0" w:rsidSect="003A355A">
      <w:headerReference w:type="default" r:id="rId19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CAFC" w14:textId="77777777" w:rsidR="00E9149F" w:rsidRDefault="00E9149F" w:rsidP="00B948CF">
      <w:r>
        <w:separator/>
      </w:r>
    </w:p>
  </w:endnote>
  <w:endnote w:type="continuationSeparator" w:id="0">
    <w:p w14:paraId="267B5F46" w14:textId="77777777" w:rsidR="00E9149F" w:rsidRDefault="00E9149F" w:rsidP="00B948CF">
      <w:r>
        <w:continuationSeparator/>
      </w:r>
    </w:p>
  </w:endnote>
  <w:endnote w:type="continuationNotice" w:id="1">
    <w:p w14:paraId="14D00E03" w14:textId="77777777" w:rsidR="00E9149F" w:rsidRDefault="00E91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904A" w14:textId="77777777" w:rsidR="00E9149F" w:rsidRDefault="00E9149F" w:rsidP="00B948CF">
      <w:r>
        <w:separator/>
      </w:r>
    </w:p>
  </w:footnote>
  <w:footnote w:type="continuationSeparator" w:id="0">
    <w:p w14:paraId="554172C4" w14:textId="77777777" w:rsidR="00E9149F" w:rsidRDefault="00E9149F" w:rsidP="00B948CF">
      <w:r>
        <w:continuationSeparator/>
      </w:r>
    </w:p>
  </w:footnote>
  <w:footnote w:type="continuationNotice" w:id="1">
    <w:p w14:paraId="1083EAD9" w14:textId="77777777" w:rsidR="00E9149F" w:rsidRDefault="00E914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3B44129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596E3660"/>
    <w:lvl w:ilvl="0" w:tplc="5B262A6C">
      <w:start w:val="1"/>
      <w:numFmt w:val="decimal"/>
      <w:lvlText w:val="4.%1."/>
      <w:lvlJc w:val="center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4"/>
  </w:num>
  <w:num w:numId="9" w16cid:durableId="1980643802">
    <w:abstractNumId w:val="17"/>
  </w:num>
  <w:num w:numId="10" w16cid:durableId="2041977314">
    <w:abstractNumId w:val="15"/>
  </w:num>
  <w:num w:numId="11" w16cid:durableId="1500076154">
    <w:abstractNumId w:val="11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151024340">
    <w:abstractNumId w:val="28"/>
  </w:num>
  <w:num w:numId="17" w16cid:durableId="162472003">
    <w:abstractNumId w:val="24"/>
  </w:num>
  <w:num w:numId="18" w16cid:durableId="1934510745">
    <w:abstractNumId w:val="6"/>
  </w:num>
  <w:num w:numId="19" w16cid:durableId="166478804">
    <w:abstractNumId w:val="18"/>
  </w:num>
  <w:num w:numId="20" w16cid:durableId="697197521">
    <w:abstractNumId w:val="7"/>
  </w:num>
  <w:num w:numId="21" w16cid:durableId="1017654360">
    <w:abstractNumId w:val="23"/>
  </w:num>
  <w:num w:numId="22" w16cid:durableId="349528681">
    <w:abstractNumId w:val="13"/>
  </w:num>
  <w:num w:numId="23" w16cid:durableId="1376658265">
    <w:abstractNumId w:val="12"/>
  </w:num>
  <w:num w:numId="24" w16cid:durableId="16469997">
    <w:abstractNumId w:val="29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10"/>
  </w:num>
  <w:num w:numId="29" w16cid:durableId="923802013">
    <w:abstractNumId w:val="16"/>
  </w:num>
  <w:num w:numId="30" w16cid:durableId="33843390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0CC0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281"/>
    <w:rsid w:val="001564A5"/>
    <w:rsid w:val="00157544"/>
    <w:rsid w:val="001576EA"/>
    <w:rsid w:val="00157CF5"/>
    <w:rsid w:val="001622E7"/>
    <w:rsid w:val="001631CD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532A7"/>
    <w:rsid w:val="0025492F"/>
    <w:rsid w:val="00260D7B"/>
    <w:rsid w:val="0026157F"/>
    <w:rsid w:val="00264552"/>
    <w:rsid w:val="00264A83"/>
    <w:rsid w:val="00265382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17A3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5432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2656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76FCA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0820"/>
    <w:rsid w:val="003A1B36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11AD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2A6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0612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55F7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066A6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1964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2B6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0577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5CA1"/>
    <w:rsid w:val="005F50D0"/>
    <w:rsid w:val="005F61DA"/>
    <w:rsid w:val="00602D70"/>
    <w:rsid w:val="006035AB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016D"/>
    <w:rsid w:val="00631D9F"/>
    <w:rsid w:val="006346C0"/>
    <w:rsid w:val="0063536D"/>
    <w:rsid w:val="0063702C"/>
    <w:rsid w:val="006372E6"/>
    <w:rsid w:val="006401B2"/>
    <w:rsid w:val="006405E6"/>
    <w:rsid w:val="006450FB"/>
    <w:rsid w:val="00645248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97083"/>
    <w:rsid w:val="006A1F71"/>
    <w:rsid w:val="006A31AD"/>
    <w:rsid w:val="006A32B0"/>
    <w:rsid w:val="006A40B5"/>
    <w:rsid w:val="006A442A"/>
    <w:rsid w:val="006A6AA5"/>
    <w:rsid w:val="006B004E"/>
    <w:rsid w:val="006B18DF"/>
    <w:rsid w:val="006C1075"/>
    <w:rsid w:val="006C22B8"/>
    <w:rsid w:val="006C41C6"/>
    <w:rsid w:val="006C527F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52AC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116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55EE"/>
    <w:rsid w:val="008360B9"/>
    <w:rsid w:val="008370BE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27B"/>
    <w:rsid w:val="00862F06"/>
    <w:rsid w:val="00863867"/>
    <w:rsid w:val="0086519E"/>
    <w:rsid w:val="0086658F"/>
    <w:rsid w:val="00867D58"/>
    <w:rsid w:val="00867F24"/>
    <w:rsid w:val="00870B2F"/>
    <w:rsid w:val="00870DA1"/>
    <w:rsid w:val="00872806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1953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581E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971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1506A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ED"/>
    <w:rsid w:val="00A507CB"/>
    <w:rsid w:val="00A514CD"/>
    <w:rsid w:val="00A51A3D"/>
    <w:rsid w:val="00A526B6"/>
    <w:rsid w:val="00A52A59"/>
    <w:rsid w:val="00A53104"/>
    <w:rsid w:val="00A53FD7"/>
    <w:rsid w:val="00A5452B"/>
    <w:rsid w:val="00A554D5"/>
    <w:rsid w:val="00A5576C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20B1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81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6DE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0A98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397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8B0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853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3739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0F7C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67D3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AEC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3ADD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1A15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212"/>
    <w:rsid w:val="00E74FDE"/>
    <w:rsid w:val="00E7719B"/>
    <w:rsid w:val="00E8154A"/>
    <w:rsid w:val="00E81927"/>
    <w:rsid w:val="00E84553"/>
    <w:rsid w:val="00E85575"/>
    <w:rsid w:val="00E85CD2"/>
    <w:rsid w:val="00E9149F"/>
    <w:rsid w:val="00E92E46"/>
    <w:rsid w:val="00E944CA"/>
    <w:rsid w:val="00E94B37"/>
    <w:rsid w:val="00E96185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814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E67DE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47891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9A2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redcross.org.ua/informatio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8</Pages>
  <Words>16997</Words>
  <Characters>9689</Characters>
  <Application>Microsoft Office Word</Application>
  <DocSecurity>0</DocSecurity>
  <Lines>80</Lines>
  <Paragraphs>53</Paragraphs>
  <ScaleCrop>false</ScaleCrop>
  <Company>AUN of PLWH</Company>
  <LinksUpToDate>false</LinksUpToDate>
  <CharactersWithSpaces>26633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Petrushenko</cp:lastModifiedBy>
  <cp:revision>172</cp:revision>
  <cp:lastPrinted>2025-11-08T00:34:00Z</cp:lastPrinted>
  <dcterms:created xsi:type="dcterms:W3CDTF">2024-10-30T21:42:00Z</dcterms:created>
  <dcterms:modified xsi:type="dcterms:W3CDTF">2026-04-22T07:07:00Z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