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7232C8E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F34171">
        <w:rPr>
          <w:b/>
          <w:sz w:val="22"/>
          <w:szCs w:val="22"/>
          <w:lang w:val="uk-UA"/>
        </w:rPr>
        <w:t>«</w:t>
      </w:r>
      <w:r w:rsidR="00396D8D">
        <w:rPr>
          <w:b/>
          <w:sz w:val="22"/>
          <w:szCs w:val="22"/>
          <w:lang w:val="uk-UA"/>
        </w:rPr>
        <w:t>09</w:t>
      </w:r>
      <w:r w:rsidR="005A5F8A" w:rsidRPr="00F34171">
        <w:rPr>
          <w:b/>
          <w:sz w:val="22"/>
          <w:szCs w:val="22"/>
          <w:lang w:val="uk-UA"/>
        </w:rPr>
        <w:t xml:space="preserve">» </w:t>
      </w:r>
      <w:r w:rsidR="003C5400" w:rsidRPr="00F34171">
        <w:rPr>
          <w:b/>
          <w:sz w:val="22"/>
          <w:szCs w:val="22"/>
          <w:lang w:val="uk-UA"/>
        </w:rPr>
        <w:t>лютого</w:t>
      </w:r>
      <w:r w:rsidR="005A5F8A" w:rsidRPr="00F34171">
        <w:rPr>
          <w:b/>
          <w:sz w:val="22"/>
          <w:szCs w:val="22"/>
          <w:lang w:val="uk-UA"/>
        </w:rPr>
        <w:t xml:space="preserve"> 202</w:t>
      </w:r>
      <w:r w:rsidR="003C5400" w:rsidRPr="00F34171">
        <w:rPr>
          <w:b/>
          <w:sz w:val="22"/>
          <w:szCs w:val="22"/>
          <w:lang w:val="uk-UA"/>
        </w:rPr>
        <w:t xml:space="preserve">6 </w:t>
      </w:r>
      <w:r w:rsidR="005A5F8A" w:rsidRPr="00F34171">
        <w:rPr>
          <w:b/>
          <w:sz w:val="22"/>
          <w:szCs w:val="22"/>
          <w:lang w:val="uk-UA"/>
        </w:rPr>
        <w:t>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35F65FDE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FB6027" w:rsidRPr="00FB6027">
        <w:rPr>
          <w:b/>
          <w:bCs/>
          <w:sz w:val="22"/>
          <w:szCs w:val="22"/>
          <w:lang w:val="uk-UA"/>
        </w:rPr>
        <w:t>2711</w:t>
      </w:r>
      <w:r w:rsidR="00FB6027" w:rsidRPr="00FB6027">
        <w:rPr>
          <w:b/>
          <w:bCs/>
          <w:sz w:val="22"/>
          <w:szCs w:val="22"/>
          <w:lang w:val="en-US"/>
        </w:rPr>
        <w:t>LC</w:t>
      </w:r>
      <w:r w:rsidRPr="00FB6027">
        <w:rPr>
          <w:b/>
          <w:bCs/>
          <w:sz w:val="22"/>
          <w:szCs w:val="22"/>
        </w:rPr>
        <w:t xml:space="preserve"> 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42B6074E" w:rsidR="00B54363" w:rsidRDefault="004C2787" w:rsidP="00B07B0B">
      <w:pPr>
        <w:ind w:right="-306" w:firstLine="567"/>
        <w:jc w:val="both"/>
        <w:rPr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B07B0B" w:rsidRPr="00E854B7">
        <w:rPr>
          <w:sz w:val="22"/>
          <w:szCs w:val="22"/>
          <w:lang w:val="uk-UA"/>
        </w:rPr>
        <w:t>послуг  страхування транспортних засобів за програмою «КАСКО»</w:t>
      </w:r>
      <w:r w:rsidR="00B07B0B">
        <w:rPr>
          <w:sz w:val="22"/>
          <w:szCs w:val="22"/>
          <w:lang w:val="uk-UA"/>
        </w:rPr>
        <w:t>.</w:t>
      </w:r>
    </w:p>
    <w:p w14:paraId="169B597C" w14:textId="77777777" w:rsidR="00B07B0B" w:rsidRPr="000B48D8" w:rsidRDefault="00B07B0B" w:rsidP="00B07B0B">
      <w:pPr>
        <w:ind w:right="-306" w:firstLine="567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380483C3" w:rsidR="001520C0" w:rsidRPr="000B48D8" w:rsidRDefault="0016528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165282">
              <w:rPr>
                <w:spacing w:val="-6"/>
                <w:sz w:val="22"/>
                <w:szCs w:val="22"/>
                <w:lang w:val="uk-UA"/>
              </w:rPr>
              <w:t>Послуги  страхування транспортних засобів за програмою  «КАСКО»</w:t>
            </w:r>
          </w:p>
        </w:tc>
        <w:tc>
          <w:tcPr>
            <w:tcW w:w="2835" w:type="dxa"/>
            <w:vAlign w:val="center"/>
          </w:tcPr>
          <w:p w14:paraId="4F5DE3BC" w14:textId="75B01593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BD6EAD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7DA3B5DD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</w:t>
            </w:r>
            <w:r w:rsidR="00BD6EAD">
              <w:rPr>
                <w:bCs/>
                <w:spacing w:val="-6"/>
                <w:sz w:val="22"/>
                <w:szCs w:val="22"/>
                <w:lang w:val="uk-UA"/>
              </w:rPr>
              <w:t>ках №1,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BD6EAD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BD6EAD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57C25E47" w:rsidR="00807E89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</w:t>
      </w:r>
      <w:r w:rsidR="009B4D33">
        <w:rPr>
          <w:i/>
          <w:iCs/>
          <w:color w:val="000000"/>
          <w:sz w:val="20"/>
          <w:szCs w:val="20"/>
          <w:lang w:val="uk-UA" w:eastAsia="uk-UA"/>
        </w:rPr>
        <w:t>здійснює закупівлю одним лотом.</w:t>
      </w:r>
    </w:p>
    <w:p w14:paraId="773A9B29" w14:textId="1521B8C0" w:rsidR="009B4D33" w:rsidRPr="00C305C4" w:rsidRDefault="009B4D33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*****</w:t>
      </w:r>
      <w:r w:rsidR="00D6745B" w:rsidRPr="00D6745B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D6745B" w:rsidRPr="00A35300">
        <w:rPr>
          <w:i/>
          <w:iCs/>
          <w:color w:val="000000"/>
          <w:sz w:val="20"/>
          <w:szCs w:val="20"/>
          <w:lang w:val="uk-UA" w:eastAsia="uk-UA"/>
        </w:rPr>
        <w:t>Орієнтовна сума договору  -</w:t>
      </w:r>
      <w:r w:rsidR="00D6745B">
        <w:rPr>
          <w:i/>
          <w:iCs/>
          <w:color w:val="000000"/>
          <w:sz w:val="20"/>
          <w:szCs w:val="20"/>
          <w:lang w:val="uk-UA" w:eastAsia="uk-UA"/>
        </w:rPr>
        <w:t xml:space="preserve"> 6 072 000,00 грн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12340E61" w:rsidR="005A5F8A" w:rsidRPr="001A296E" w:rsidRDefault="00D6745B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6647EE">
        <w:rPr>
          <w:b/>
          <w:sz w:val="22"/>
          <w:szCs w:val="22"/>
          <w:lang w:val="uk-UA"/>
        </w:rPr>
        <w:t xml:space="preserve">Термін </w:t>
      </w:r>
      <w:r w:rsidR="005A5F8A" w:rsidRPr="006647EE">
        <w:rPr>
          <w:b/>
          <w:sz w:val="22"/>
          <w:szCs w:val="22"/>
          <w:lang w:val="uk-UA"/>
        </w:rPr>
        <w:t xml:space="preserve">надання послуг: </w:t>
      </w:r>
      <w:r w:rsidR="00B861A6" w:rsidRPr="006647EE">
        <w:rPr>
          <w:bCs/>
          <w:sz w:val="22"/>
          <w:szCs w:val="22"/>
          <w:lang w:val="uk-UA"/>
        </w:rPr>
        <w:t>пр</w:t>
      </w:r>
      <w:r w:rsidR="006647EE" w:rsidRPr="006647EE">
        <w:rPr>
          <w:bCs/>
          <w:sz w:val="22"/>
          <w:szCs w:val="22"/>
          <w:lang w:val="uk-UA"/>
        </w:rPr>
        <w:t>отягом</w:t>
      </w:r>
      <w:r w:rsidR="006647EE">
        <w:rPr>
          <w:bCs/>
          <w:sz w:val="22"/>
          <w:szCs w:val="22"/>
          <w:lang w:val="uk-UA"/>
        </w:rPr>
        <w:t xml:space="preserve"> 12 місяців з дати підписання договору.</w:t>
      </w:r>
    </w:p>
    <w:p w14:paraId="060C5CC6" w14:textId="6BBC5B8C" w:rsidR="00B27389" w:rsidRDefault="007834E6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7834E6">
        <w:rPr>
          <w:b/>
          <w:sz w:val="22"/>
          <w:szCs w:val="22"/>
          <w:lang w:val="uk-UA"/>
        </w:rPr>
        <w:t xml:space="preserve">Місце реєстрації автомобілів: </w:t>
      </w:r>
      <w:r w:rsidRPr="00A3509F">
        <w:rPr>
          <w:bCs/>
          <w:sz w:val="22"/>
          <w:szCs w:val="22"/>
          <w:lang w:val="uk-UA"/>
        </w:rPr>
        <w:t>м. Київ.</w:t>
      </w:r>
    </w:p>
    <w:p w14:paraId="07FED023" w14:textId="77777777" w:rsidR="007834E6" w:rsidRPr="00777C00" w:rsidRDefault="007834E6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305776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F74686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F74686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746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F746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2C68FD6C" w14:textId="77777777" w:rsidR="001D5119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1D51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1146A742" w14:textId="4AA4B17F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6F4F15" w:rsidRPr="006F4F1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Ліцензія на право здійснення страхової діяльності</w:t>
            </w:r>
          </w:p>
        </w:tc>
      </w:tr>
      <w:tr w:rsidR="00480F8C" w:rsidRPr="00BB28F6" w14:paraId="5424C182" w14:textId="77777777" w:rsidTr="00605C06">
        <w:trPr>
          <w:trHeight w:val="1227"/>
        </w:trPr>
        <w:tc>
          <w:tcPr>
            <w:tcW w:w="601" w:type="dxa"/>
          </w:tcPr>
          <w:p w14:paraId="420F10FB" w14:textId="6D5B9241" w:rsidR="00480F8C" w:rsidRPr="00F74686" w:rsidRDefault="00480F8C" w:rsidP="00480F8C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BEC0C1F" w14:textId="77777777" w:rsidR="00480F8C" w:rsidRPr="00F74686" w:rsidRDefault="00480F8C" w:rsidP="00480F8C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F74686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Досвід роботи:</w:t>
            </w:r>
          </w:p>
          <w:p w14:paraId="4999D136" w14:textId="77777777" w:rsidR="00480F8C" w:rsidRPr="00F74686" w:rsidRDefault="00480F8C" w:rsidP="00480F8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42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746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менше 10 років на ринку України.</w:t>
            </w:r>
          </w:p>
          <w:p w14:paraId="2CFBD731" w14:textId="77777777" w:rsidR="00480F8C" w:rsidRPr="00F74686" w:rsidRDefault="00480F8C" w:rsidP="00480F8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42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746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досвіду роботи з міжнародними організаціями та приналежність до міжнародних страхових груп</w:t>
            </w:r>
          </w:p>
          <w:p w14:paraId="1F89CD6D" w14:textId="547B2CB8" w:rsidR="00480F8C" w:rsidRPr="00F74686" w:rsidRDefault="00480F8C" w:rsidP="005E009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746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Відгуки</w:t>
            </w:r>
          </w:p>
        </w:tc>
        <w:tc>
          <w:tcPr>
            <w:tcW w:w="4521" w:type="dxa"/>
          </w:tcPr>
          <w:p w14:paraId="348A4455" w14:textId="77777777" w:rsidR="005E0090" w:rsidRPr="00F74686" w:rsidRDefault="00480F8C" w:rsidP="005E009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746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Надайте інформаційний лист, довідку чи портфоліо компанії</w:t>
            </w:r>
          </w:p>
          <w:p w14:paraId="3A51187A" w14:textId="0602CD4A" w:rsidR="00480F8C" w:rsidRPr="00F74686" w:rsidRDefault="00480F8C" w:rsidP="005E009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746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рекомендаційних листів від клієнтів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305776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676FB116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 w:rsidR="001639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попередні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1639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оки.</w:t>
            </w:r>
          </w:p>
        </w:tc>
        <w:tc>
          <w:tcPr>
            <w:tcW w:w="4521" w:type="dxa"/>
          </w:tcPr>
          <w:p w14:paraId="70B8F3F7" w14:textId="64555886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1639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1639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</w:t>
            </w:r>
            <w:r w:rsidR="00D976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</w:t>
            </w:r>
            <w:r w:rsidR="001639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(за 2023-2024рр або 2024-2025рр)</w:t>
            </w:r>
            <w:r w:rsidR="00D976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D97622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4A038C40" w:rsidR="004E62DE" w:rsidRPr="004E62D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>
        <w:rPr>
          <w:sz w:val="22"/>
          <w:szCs w:val="22"/>
          <w:lang w:val="uk-UA"/>
        </w:rPr>
        <w:t xml:space="preserve"> та підпису акту наданих послуг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вказати її </w:t>
      </w:r>
      <w:r w:rsidRPr="00F606E2">
        <w:rPr>
          <w:sz w:val="22"/>
          <w:szCs w:val="22"/>
          <w:lang w:val="uk-UA"/>
        </w:rPr>
        <w:t xml:space="preserve">в Додатку </w:t>
      </w:r>
      <w:r w:rsidR="00F606E2" w:rsidRPr="00F606E2">
        <w:rPr>
          <w:sz w:val="22"/>
          <w:szCs w:val="22"/>
          <w:lang w:val="uk-UA"/>
        </w:rPr>
        <w:t>3</w:t>
      </w:r>
      <w:r w:rsidRPr="00F606E2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</w:t>
      </w:r>
      <w:r w:rsidRPr="00CA618B">
        <w:rPr>
          <w:rFonts w:eastAsia="Arial Unicode MS"/>
          <w:noProof/>
          <w:sz w:val="22"/>
          <w:szCs w:val="22"/>
        </w:rPr>
        <w:t xml:space="preserve">Згідно політик ТЧХУ передплата може застосовуватись лише як виключення та становити не більше </w:t>
      </w:r>
      <w:r>
        <w:rPr>
          <w:rFonts w:eastAsia="Arial Unicode MS"/>
          <w:noProof/>
          <w:sz w:val="22"/>
          <w:szCs w:val="22"/>
        </w:rPr>
        <w:t>5</w:t>
      </w:r>
      <w:r w:rsidRPr="00CA618B">
        <w:rPr>
          <w:rFonts w:eastAsia="Arial Unicode MS"/>
          <w:noProof/>
          <w:sz w:val="22"/>
          <w:szCs w:val="22"/>
        </w:rPr>
        <w:t>0%</w:t>
      </w:r>
      <w:r>
        <w:rPr>
          <w:rFonts w:eastAsia="Arial Unicode MS"/>
          <w:noProof/>
          <w:sz w:val="22"/>
          <w:szCs w:val="22"/>
        </w:rPr>
        <w:t>.</w:t>
      </w:r>
    </w:p>
    <w:p w14:paraId="50367BDE" w14:textId="5B6EB89E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853194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6D34D83" w14:textId="2072C9AE" w:rsidR="00A56997" w:rsidRPr="009E4813" w:rsidRDefault="009E4813" w:rsidP="009E4813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Підтвердження відповідності технічному завданню у формі Додатку №2 до Запиту;</w:t>
      </w:r>
    </w:p>
    <w:p w14:paraId="6B6451CA" w14:textId="2AB15C9A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A660F9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00903A23" w:rsidR="007545FF" w:rsidRPr="00E4770D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E4770D" w:rsidRPr="00E4770D">
        <w:rPr>
          <w:sz w:val="22"/>
          <w:szCs w:val="22"/>
          <w:lang w:val="uk-UA"/>
        </w:rPr>
        <w:t>23</w:t>
      </w:r>
      <w:r w:rsidRPr="00E4770D">
        <w:rPr>
          <w:sz w:val="22"/>
          <w:szCs w:val="22"/>
        </w:rPr>
        <w:t>.</w:t>
      </w:r>
      <w:r w:rsidR="00E4770D" w:rsidRPr="00E4770D">
        <w:rPr>
          <w:sz w:val="22"/>
          <w:szCs w:val="22"/>
          <w:lang w:val="uk-UA"/>
        </w:rPr>
        <w:t>02</w:t>
      </w:r>
      <w:r w:rsidRPr="00E4770D">
        <w:rPr>
          <w:sz w:val="22"/>
          <w:szCs w:val="22"/>
        </w:rPr>
        <w:t>.202</w:t>
      </w:r>
      <w:r w:rsidR="009E4813" w:rsidRPr="00E4770D">
        <w:rPr>
          <w:sz w:val="22"/>
          <w:szCs w:val="22"/>
          <w:lang w:val="uk-UA"/>
        </w:rPr>
        <w:t>6</w:t>
      </w:r>
      <w:r w:rsidRPr="00E4770D">
        <w:rPr>
          <w:sz w:val="22"/>
          <w:szCs w:val="22"/>
        </w:rPr>
        <w:t xml:space="preserve"> року.</w:t>
      </w:r>
    </w:p>
    <w:p w14:paraId="5F7E7F29" w14:textId="77777777" w:rsidR="00AD6D3B" w:rsidRPr="00E4770D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E4770D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E4770D">
        <w:rPr>
          <w:b/>
          <w:sz w:val="22"/>
          <w:szCs w:val="22"/>
          <w:lang w:val="uk-UA"/>
        </w:rPr>
        <w:lastRenderedPageBreak/>
        <w:t xml:space="preserve">КІНЦЕВИЙ ТЕРМІН ПРИЙМАННЯ </w:t>
      </w:r>
      <w:r w:rsidR="00345379" w:rsidRPr="00E4770D">
        <w:rPr>
          <w:b/>
          <w:sz w:val="22"/>
          <w:szCs w:val="22"/>
          <w:lang w:val="uk-UA"/>
        </w:rPr>
        <w:t>ЦІНОВИХ</w:t>
      </w:r>
      <w:r w:rsidRPr="00E4770D">
        <w:rPr>
          <w:b/>
          <w:sz w:val="22"/>
          <w:szCs w:val="22"/>
          <w:lang w:val="uk-UA"/>
        </w:rPr>
        <w:t xml:space="preserve"> ПРОПОЗИЦІЙ</w:t>
      </w:r>
      <w:r w:rsidRPr="00E4770D">
        <w:rPr>
          <w:sz w:val="22"/>
          <w:szCs w:val="22"/>
          <w:lang w:val="uk-UA"/>
        </w:rPr>
        <w:t xml:space="preserve"> від учасників: </w:t>
      </w:r>
    </w:p>
    <w:p w14:paraId="3E886E94" w14:textId="5B4F5991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E4770D">
        <w:rPr>
          <w:b/>
          <w:color w:val="FF0000"/>
          <w:sz w:val="22"/>
          <w:szCs w:val="22"/>
          <w:lang w:val="uk-UA"/>
        </w:rPr>
        <w:t xml:space="preserve"> </w:t>
      </w:r>
      <w:r w:rsidRPr="00E4770D">
        <w:rPr>
          <w:b/>
          <w:sz w:val="22"/>
          <w:szCs w:val="22"/>
          <w:lang w:val="uk-UA"/>
        </w:rPr>
        <w:t>«</w:t>
      </w:r>
      <w:r w:rsidR="00E4770D" w:rsidRPr="00E4770D">
        <w:rPr>
          <w:b/>
          <w:sz w:val="22"/>
          <w:szCs w:val="22"/>
          <w:lang w:val="uk-UA"/>
        </w:rPr>
        <w:t>24</w:t>
      </w:r>
      <w:r w:rsidRPr="00E4770D">
        <w:rPr>
          <w:b/>
          <w:sz w:val="22"/>
          <w:szCs w:val="22"/>
          <w:lang w:val="uk-UA"/>
        </w:rPr>
        <w:t xml:space="preserve">» </w:t>
      </w:r>
      <w:r w:rsidR="00E4770D" w:rsidRPr="00E4770D">
        <w:rPr>
          <w:b/>
          <w:sz w:val="22"/>
          <w:szCs w:val="22"/>
          <w:lang w:val="uk-UA"/>
        </w:rPr>
        <w:t>лютого</w:t>
      </w:r>
      <w:r w:rsidRPr="00E4770D">
        <w:rPr>
          <w:b/>
          <w:sz w:val="22"/>
          <w:szCs w:val="22"/>
          <w:lang w:val="uk-UA"/>
        </w:rPr>
        <w:t xml:space="preserve"> 202</w:t>
      </w:r>
      <w:r w:rsidR="009E4813" w:rsidRPr="00E4770D">
        <w:rPr>
          <w:b/>
          <w:sz w:val="22"/>
          <w:szCs w:val="22"/>
          <w:lang w:val="uk-UA"/>
        </w:rPr>
        <w:t>6</w:t>
      </w:r>
      <w:r w:rsidRPr="00E4770D">
        <w:rPr>
          <w:b/>
          <w:sz w:val="22"/>
          <w:szCs w:val="22"/>
          <w:lang w:val="uk-UA"/>
        </w:rPr>
        <w:t xml:space="preserve"> рок</w:t>
      </w:r>
      <w:r w:rsidR="00570092" w:rsidRPr="00E4770D">
        <w:rPr>
          <w:b/>
          <w:sz w:val="22"/>
          <w:szCs w:val="22"/>
          <w:lang w:val="uk-UA"/>
        </w:rPr>
        <w:t>у</w:t>
      </w:r>
      <w:r w:rsidRPr="00E4770D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4D3319B1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E4770D">
        <w:rPr>
          <w:b/>
          <w:sz w:val="22"/>
          <w:szCs w:val="22"/>
          <w:lang w:val="uk-UA"/>
        </w:rPr>
        <w:t>25</w:t>
      </w:r>
      <w:r w:rsidRPr="00557A29">
        <w:rPr>
          <w:b/>
          <w:sz w:val="22"/>
          <w:szCs w:val="22"/>
        </w:rPr>
        <w:t>»</w:t>
      </w:r>
      <w:r w:rsidR="00E4770D">
        <w:rPr>
          <w:b/>
          <w:sz w:val="22"/>
          <w:szCs w:val="22"/>
          <w:lang w:val="uk-UA"/>
        </w:rPr>
        <w:t xml:space="preserve"> лютого</w:t>
      </w:r>
      <w:r w:rsidRPr="00557A29">
        <w:rPr>
          <w:b/>
          <w:sz w:val="22"/>
          <w:szCs w:val="22"/>
        </w:rPr>
        <w:t xml:space="preserve"> 202</w:t>
      </w:r>
      <w:r w:rsidR="009E4813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</w:t>
      </w:r>
      <w:proofErr w:type="gramStart"/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gramStart"/>
      <w:r w:rsidRPr="00557A29">
        <w:rPr>
          <w:sz w:val="22"/>
          <w:szCs w:val="22"/>
        </w:rPr>
        <w:t xml:space="preserve">адресою: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</w:t>
      </w:r>
      <w:r w:rsidRPr="00220C1E">
        <w:rPr>
          <w:b/>
          <w:bCs/>
          <w:noProof/>
          <w:sz w:val="22"/>
          <w:szCs w:val="22"/>
          <w:lang w:val="uk-UA"/>
        </w:rPr>
        <w:t>Назва кожного документу повинна відповідати його вмісту</w:t>
      </w:r>
      <w:r w:rsidRPr="00AD7DCC">
        <w:rPr>
          <w:noProof/>
          <w:sz w:val="22"/>
          <w:szCs w:val="22"/>
          <w:lang w:val="uk-UA"/>
        </w:rPr>
        <w:t xml:space="preserve">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7AD676AC" w:rsidR="00E27AFC" w:rsidRPr="009E4813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9E4813">
        <w:rPr>
          <w:b/>
          <w:noProof/>
          <w:sz w:val="22"/>
          <w:szCs w:val="22"/>
          <w:lang w:val="uk-UA"/>
        </w:rPr>
        <w:t>№</w:t>
      </w:r>
      <w:r w:rsidR="009E4813" w:rsidRPr="00FB6027">
        <w:rPr>
          <w:b/>
          <w:bCs/>
          <w:sz w:val="22"/>
          <w:szCs w:val="22"/>
          <w:lang w:val="uk-UA"/>
        </w:rPr>
        <w:t>2711</w:t>
      </w:r>
      <w:r w:rsidR="009E4813" w:rsidRPr="00FB6027">
        <w:rPr>
          <w:b/>
          <w:bCs/>
          <w:sz w:val="22"/>
          <w:szCs w:val="22"/>
          <w:lang w:val="en-US"/>
        </w:rPr>
        <w:t>LC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9E4813" w:rsidRPr="009E4813">
        <w:rPr>
          <w:b/>
          <w:noProof/>
          <w:sz w:val="22"/>
          <w:szCs w:val="22"/>
          <w:lang w:val="uk-UA"/>
        </w:rPr>
        <w:t>Страхування</w:t>
      </w:r>
      <w:r w:rsidR="009E4813" w:rsidRPr="009E4813">
        <w:rPr>
          <w:b/>
          <w:spacing w:val="-6"/>
          <w:sz w:val="22"/>
          <w:szCs w:val="22"/>
          <w:lang w:val="uk-UA"/>
        </w:rPr>
        <w:t xml:space="preserve"> «КАСКО»</w:t>
      </w:r>
      <w:r w:rsidRPr="009E4813">
        <w:rPr>
          <w:b/>
          <w:noProof/>
          <w:lang w:val="uk-UA"/>
        </w:rPr>
        <w:t>.</w:t>
      </w:r>
      <w:r w:rsidRPr="009E4813">
        <w:rPr>
          <w:b/>
          <w:noProof/>
          <w:sz w:val="22"/>
          <w:szCs w:val="22"/>
          <w:lang w:val="uk-UA"/>
        </w:rPr>
        <w:t xml:space="preserve">  </w:t>
      </w:r>
    </w:p>
    <w:p w14:paraId="4D233AB5" w14:textId="48121C32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9E4813">
        <w:rPr>
          <w:b/>
          <w:noProof/>
          <w:sz w:val="22"/>
          <w:szCs w:val="22"/>
          <w:lang w:val="uk-UA"/>
        </w:rPr>
        <w:t>№</w:t>
      </w:r>
      <w:r w:rsidR="009E4813" w:rsidRPr="009E4813">
        <w:rPr>
          <w:b/>
          <w:bCs/>
          <w:sz w:val="22"/>
          <w:szCs w:val="22"/>
          <w:lang w:val="uk-UA"/>
        </w:rPr>
        <w:t>2711</w:t>
      </w:r>
      <w:r w:rsidR="009E4813" w:rsidRPr="009E4813">
        <w:rPr>
          <w:b/>
          <w:bCs/>
          <w:sz w:val="22"/>
          <w:szCs w:val="22"/>
          <w:lang w:val="en-US"/>
        </w:rPr>
        <w:t>LC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9E4813" w:rsidRPr="009E4813">
        <w:rPr>
          <w:b/>
          <w:noProof/>
          <w:sz w:val="22"/>
          <w:szCs w:val="22"/>
          <w:lang w:val="uk-UA"/>
        </w:rPr>
        <w:t xml:space="preserve">Страхування </w:t>
      </w:r>
      <w:r w:rsidR="009E4813" w:rsidRPr="009E4813">
        <w:rPr>
          <w:b/>
          <w:spacing w:val="-6"/>
          <w:sz w:val="22"/>
          <w:szCs w:val="22"/>
          <w:lang w:val="uk-UA"/>
        </w:rPr>
        <w:t xml:space="preserve">  «КАСКО»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lastRenderedPageBreak/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6F9A3395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53DF5FA5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1878F3">
        <w:rPr>
          <w:i/>
          <w:sz w:val="22"/>
          <w:szCs w:val="22"/>
          <w:lang w:val="uk-UA"/>
        </w:rPr>
        <w:t>Голова тендерного комітету</w:t>
      </w:r>
      <w:r w:rsidRPr="001878F3">
        <w:rPr>
          <w:i/>
          <w:sz w:val="22"/>
          <w:szCs w:val="22"/>
          <w:lang w:val="uk-UA"/>
        </w:rPr>
        <w:tab/>
      </w:r>
      <w:r w:rsidRPr="001878F3">
        <w:rPr>
          <w:i/>
          <w:sz w:val="22"/>
          <w:szCs w:val="22"/>
          <w:lang w:val="uk-UA"/>
        </w:rPr>
        <w:tab/>
      </w:r>
      <w:r w:rsidR="009E6AC7" w:rsidRPr="001878F3">
        <w:rPr>
          <w:i/>
          <w:sz w:val="22"/>
          <w:szCs w:val="22"/>
          <w:lang w:val="uk-UA"/>
        </w:rPr>
        <w:t xml:space="preserve">                                               </w:t>
      </w:r>
      <w:r w:rsidRPr="001878F3">
        <w:rPr>
          <w:i/>
          <w:sz w:val="22"/>
          <w:szCs w:val="22"/>
          <w:lang w:val="uk-UA"/>
        </w:rPr>
        <w:tab/>
      </w:r>
      <w:r w:rsidR="00CC7D16" w:rsidRPr="001878F3">
        <w:rPr>
          <w:i/>
          <w:sz w:val="22"/>
          <w:szCs w:val="22"/>
          <w:lang w:val="uk-UA"/>
        </w:rPr>
        <w:t xml:space="preserve">____________ </w:t>
      </w:r>
      <w:proofErr w:type="spellStart"/>
      <w:r w:rsidR="006C43C7" w:rsidRPr="001878F3">
        <w:rPr>
          <w:i/>
          <w:sz w:val="22"/>
          <w:szCs w:val="22"/>
          <w:lang w:val="uk-UA"/>
        </w:rPr>
        <w:t>Ошовська</w:t>
      </w:r>
      <w:proofErr w:type="spellEnd"/>
      <w:r w:rsidR="006C43C7" w:rsidRPr="001878F3">
        <w:rPr>
          <w:i/>
          <w:sz w:val="22"/>
          <w:szCs w:val="22"/>
          <w:lang w:val="uk-UA"/>
        </w:rPr>
        <w:t xml:space="preserve"> Р.І.</w:t>
      </w:r>
    </w:p>
    <w:p w14:paraId="6AA2CB22" w14:textId="3E0A950F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D46D37">
        <w:rPr>
          <w:sz w:val="22"/>
          <w:szCs w:val="22"/>
          <w:lang w:val="uk-UA"/>
        </w:rPr>
        <w:t>Запиту</w:t>
      </w:r>
    </w:p>
    <w:p w14:paraId="66C8F9CE" w14:textId="7BFA1002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053BEA" w:rsidRPr="00053BEA">
        <w:rPr>
          <w:spacing w:val="-4"/>
          <w:sz w:val="22"/>
          <w:szCs w:val="22"/>
          <w:lang w:val="uk-UA"/>
        </w:rPr>
        <w:t xml:space="preserve">послуг страхування «КАСКО»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22CFA60C" w14:textId="36E87EE1" w:rsidR="00ED35A0" w:rsidRPr="00D2763A" w:rsidRDefault="00EA67E2" w:rsidP="00ED35A0">
      <w:pPr>
        <w:ind w:left="6804" w:hanging="7088"/>
        <w:jc w:val="right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  <w:r w:rsidR="00ED35A0" w:rsidRPr="00D2763A">
        <w:rPr>
          <w:sz w:val="22"/>
          <w:szCs w:val="22"/>
          <w:lang w:val="uk-UA"/>
        </w:rPr>
        <w:t xml:space="preserve">до </w:t>
      </w:r>
      <w:r w:rsidR="00D46D37">
        <w:rPr>
          <w:sz w:val="22"/>
          <w:szCs w:val="22"/>
          <w:lang w:val="uk-UA"/>
        </w:rPr>
        <w:t>Запиту</w:t>
      </w:r>
    </w:p>
    <w:p w14:paraId="1321D974" w14:textId="77777777" w:rsidR="00ED35A0" w:rsidRPr="00D2763A" w:rsidRDefault="00ED35A0" w:rsidP="00ED35A0">
      <w:pPr>
        <w:ind w:left="5664"/>
        <w:jc w:val="right"/>
        <w:rPr>
          <w:b/>
          <w:i/>
          <w:sz w:val="22"/>
          <w:szCs w:val="22"/>
          <w:lang w:val="uk-UA"/>
        </w:rPr>
      </w:pPr>
      <w:r w:rsidRPr="00D2763A">
        <w:rPr>
          <w:sz w:val="22"/>
          <w:szCs w:val="22"/>
          <w:lang w:val="uk-UA"/>
        </w:rPr>
        <w:t xml:space="preserve">       на закупівлю послуг страхування</w:t>
      </w:r>
      <w:r>
        <w:rPr>
          <w:sz w:val="22"/>
          <w:szCs w:val="22"/>
          <w:lang w:val="uk-UA"/>
        </w:rPr>
        <w:t xml:space="preserve"> «КАСКО»</w:t>
      </w:r>
    </w:p>
    <w:p w14:paraId="1E34A518" w14:textId="149FE85F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64AE480F" w14:textId="77777777" w:rsidR="00EA67E2" w:rsidRDefault="00EA67E2" w:rsidP="00EA67E2">
      <w:pPr>
        <w:textAlignment w:val="baseline"/>
        <w:rPr>
          <w:sz w:val="22"/>
          <w:szCs w:val="22"/>
          <w:lang w:val="uk-UA" w:eastAsia="uk-UA"/>
        </w:rPr>
      </w:pPr>
    </w:p>
    <w:p w14:paraId="71FF0723" w14:textId="77777777" w:rsidR="00A31EB4" w:rsidRPr="00557A29" w:rsidRDefault="00A31EB4" w:rsidP="00A31EB4">
      <w:pPr>
        <w:ind w:left="540"/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ФОРМА ВІДПОВІДНОСТІ ТЕХНІЧНОМУ ЗАВДАННЮ</w:t>
      </w:r>
    </w:p>
    <w:p w14:paraId="5FC1B34A" w14:textId="77777777" w:rsidR="00A31EB4" w:rsidRPr="00557A29" w:rsidRDefault="00A31EB4" w:rsidP="00A31EB4">
      <w:pPr>
        <w:ind w:left="540"/>
        <w:contextualSpacing/>
        <w:jc w:val="center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A31EB4" w:rsidRPr="00557A29" w14:paraId="15A691D9" w14:textId="77777777" w:rsidTr="00D327C7">
        <w:trPr>
          <w:trHeight w:val="613"/>
        </w:trPr>
        <w:tc>
          <w:tcPr>
            <w:tcW w:w="5529" w:type="dxa"/>
            <w:shd w:val="clear" w:color="auto" w:fill="E7E6E6"/>
            <w:vAlign w:val="center"/>
          </w:tcPr>
          <w:p w14:paraId="2507F52D" w14:textId="77777777" w:rsidR="00A31EB4" w:rsidRPr="00557A29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ТЕХНІЧНІ ВИМОГИ ДО ЗАКУПІВЛІ</w:t>
            </w:r>
          </w:p>
        </w:tc>
        <w:tc>
          <w:tcPr>
            <w:tcW w:w="4536" w:type="dxa"/>
            <w:shd w:val="clear" w:color="auto" w:fill="E7E6E6"/>
            <w:vAlign w:val="center"/>
          </w:tcPr>
          <w:p w14:paraId="3D558A47" w14:textId="77777777" w:rsidR="00A31EB4" w:rsidRPr="00557A29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ПРОПОЗИЦІЯ</w:t>
            </w:r>
            <w:r w:rsidRPr="00A372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УЧАСНИКА ТЕНДЕРУ </w:t>
            </w:r>
          </w:p>
        </w:tc>
      </w:tr>
      <w:tr w:rsidR="00A31EB4" w:rsidRPr="00557A29" w14:paraId="5AC46130" w14:textId="77777777" w:rsidTr="00D327C7">
        <w:trPr>
          <w:trHeight w:val="367"/>
        </w:trPr>
        <w:tc>
          <w:tcPr>
            <w:tcW w:w="10065" w:type="dxa"/>
            <w:gridSpan w:val="2"/>
            <w:shd w:val="clear" w:color="auto" w:fill="E7E6E6"/>
            <w:vAlign w:val="center"/>
          </w:tcPr>
          <w:p w14:paraId="3235F352" w14:textId="77777777" w:rsidR="00A31EB4" w:rsidRPr="00D2763A" w:rsidRDefault="00A31EB4" w:rsidP="00D327C7">
            <w:pPr>
              <w:jc w:val="center"/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4D4A27">
              <w:rPr>
                <w:b/>
                <w:i/>
                <w:iCs/>
                <w:lang w:val="uk-UA"/>
              </w:rPr>
              <w:t xml:space="preserve">І. Покриття ризиків </w:t>
            </w:r>
            <w:r w:rsidRPr="00D2763A">
              <w:rPr>
                <w:bCs/>
                <w:i/>
                <w:iCs/>
                <w:sz w:val="22"/>
                <w:szCs w:val="22"/>
                <w:lang w:val="uk-UA"/>
              </w:rPr>
              <w:t>(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t>підтвердіть</w:t>
            </w:r>
            <w:r w:rsidRPr="00D2763A">
              <w:rPr>
                <w:bCs/>
                <w:i/>
                <w:iCs/>
                <w:sz w:val="22"/>
                <w:szCs w:val="22"/>
                <w:lang w:val="uk-UA"/>
              </w:rPr>
              <w:t xml:space="preserve"> в цьому розділі 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t>покриття вказаних ризиків</w:t>
            </w:r>
            <w:r w:rsidRPr="00D2763A">
              <w:rPr>
                <w:bCs/>
                <w:i/>
                <w:iCs/>
                <w:sz w:val="22"/>
                <w:szCs w:val="22"/>
                <w:lang w:val="uk-UA"/>
              </w:rPr>
              <w:t xml:space="preserve"> по кожному вказаному пункту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t>, або надайте свою пропозицію</w:t>
            </w:r>
            <w:r w:rsidRPr="00D2763A">
              <w:rPr>
                <w:bCs/>
                <w:i/>
                <w:iCs/>
                <w:sz w:val="22"/>
                <w:szCs w:val="22"/>
                <w:lang w:val="uk-UA"/>
              </w:rPr>
              <w:t>):</w:t>
            </w:r>
          </w:p>
        </w:tc>
      </w:tr>
      <w:tr w:rsidR="00A31EB4" w:rsidRPr="00557A29" w14:paraId="5E749F32" w14:textId="77777777" w:rsidTr="00D327C7">
        <w:trPr>
          <w:trHeight w:val="367"/>
        </w:trPr>
        <w:tc>
          <w:tcPr>
            <w:tcW w:w="5529" w:type="dxa"/>
          </w:tcPr>
          <w:p w14:paraId="3AD14475" w14:textId="77777777" w:rsidR="00A31EB4" w:rsidRPr="00D2763A" w:rsidRDefault="00A31EB4" w:rsidP="00A31EB4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Незаконне заволодіння, викрадення транспортного засобу (ТЗ).</w:t>
            </w:r>
          </w:p>
        </w:tc>
        <w:tc>
          <w:tcPr>
            <w:tcW w:w="4536" w:type="dxa"/>
          </w:tcPr>
          <w:p w14:paraId="093C0410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305776" w14:paraId="3D12AE82" w14:textId="77777777" w:rsidTr="00D327C7">
        <w:trPr>
          <w:trHeight w:val="367"/>
        </w:trPr>
        <w:tc>
          <w:tcPr>
            <w:tcW w:w="5529" w:type="dxa"/>
          </w:tcPr>
          <w:p w14:paraId="3B0C22A5" w14:textId="77777777" w:rsidR="00A31EB4" w:rsidRPr="00D2763A" w:rsidRDefault="00A31EB4" w:rsidP="00A31EB4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ДТП, </w:t>
            </w:r>
            <w:proofErr w:type="spellStart"/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в.т.ч</w:t>
            </w:r>
            <w:proofErr w:type="spellEnd"/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 викид каменів чи інших твердих фракцій із-під коліс транспорту, зіткнення з тваринами під час руху ТЗ.</w:t>
            </w:r>
          </w:p>
        </w:tc>
        <w:tc>
          <w:tcPr>
            <w:tcW w:w="4536" w:type="dxa"/>
          </w:tcPr>
          <w:p w14:paraId="5B99F9D8" w14:textId="77777777" w:rsidR="00A31EB4" w:rsidRPr="00305776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777F5C" w:rsidRPr="00557A29" w14:paraId="0CE98025" w14:textId="77777777" w:rsidTr="00D327C7">
        <w:trPr>
          <w:trHeight w:val="367"/>
        </w:trPr>
        <w:tc>
          <w:tcPr>
            <w:tcW w:w="5529" w:type="dxa"/>
          </w:tcPr>
          <w:p w14:paraId="29C98555" w14:textId="729CBFB5" w:rsidR="00777F5C" w:rsidRDefault="00AA0C10" w:rsidP="00A31EB4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97742C" w:rsidRPr="0097742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Протиправні дії третіх осіб</w:t>
            </w:r>
            <w:r w:rsidR="0097742C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4536" w:type="dxa"/>
          </w:tcPr>
          <w:p w14:paraId="330CCB8C" w14:textId="77777777" w:rsidR="00777F5C" w:rsidRPr="00EA2E17" w:rsidRDefault="00777F5C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5FD25963" w14:textId="77777777" w:rsidTr="00D327C7">
        <w:trPr>
          <w:trHeight w:val="367"/>
        </w:trPr>
        <w:tc>
          <w:tcPr>
            <w:tcW w:w="5529" w:type="dxa"/>
          </w:tcPr>
          <w:p w14:paraId="10BD7F4E" w14:textId="77777777" w:rsidR="00A31EB4" w:rsidRPr="00D2763A" w:rsidRDefault="00A31EB4" w:rsidP="00A31EB4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Стихійне лихо (повінь, буря, ураган, смерч, шторм, злива, град, обвал, лавина, зсув, вихід ґрунтових вод, удар блискавки, осідання ґрунту, землетрус тощо)</w:t>
            </w:r>
          </w:p>
        </w:tc>
        <w:tc>
          <w:tcPr>
            <w:tcW w:w="4536" w:type="dxa"/>
          </w:tcPr>
          <w:p w14:paraId="50C99127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7ECD276E" w14:textId="77777777" w:rsidTr="00D327C7">
        <w:trPr>
          <w:trHeight w:val="367"/>
        </w:trPr>
        <w:tc>
          <w:tcPr>
            <w:tcW w:w="5529" w:type="dxa"/>
          </w:tcPr>
          <w:p w14:paraId="23BC0B1A" w14:textId="77777777" w:rsidR="00A31EB4" w:rsidRPr="00D2763A" w:rsidRDefault="00A31EB4" w:rsidP="00A31EB4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Пожежа, вибух або самозаймання</w:t>
            </w:r>
          </w:p>
        </w:tc>
        <w:tc>
          <w:tcPr>
            <w:tcW w:w="4536" w:type="dxa"/>
          </w:tcPr>
          <w:p w14:paraId="000299A6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305776" w14:paraId="4F8CB1CB" w14:textId="77777777" w:rsidTr="00D327C7">
        <w:trPr>
          <w:trHeight w:val="367"/>
        </w:trPr>
        <w:tc>
          <w:tcPr>
            <w:tcW w:w="5529" w:type="dxa"/>
          </w:tcPr>
          <w:p w14:paraId="1F6E94A9" w14:textId="77777777" w:rsidR="00A31EB4" w:rsidRPr="00D2763A" w:rsidRDefault="00A31EB4" w:rsidP="00A31EB4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 Самовільне падіння дерев, каміння або інших  предметів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;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</w:p>
          <w:p w14:paraId="7049D5CF" w14:textId="77777777" w:rsidR="00A31EB4" w:rsidRPr="00D2763A" w:rsidRDefault="00A31EB4" w:rsidP="00D327C7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напад тварин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;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</w:p>
          <w:p w14:paraId="5B9C4BCD" w14:textId="77777777" w:rsidR="00A31EB4" w:rsidRPr="00D2763A" w:rsidRDefault="00A31EB4" w:rsidP="00D327C7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пошкодження ТЗ водою або рідинами внаслідок аварії комунальних мереж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;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</w:p>
          <w:p w14:paraId="1614DD01" w14:textId="77777777" w:rsidR="00A31EB4" w:rsidRPr="00D2763A" w:rsidRDefault="00A31EB4" w:rsidP="00D327C7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пошкодження двигуна, через потрапляння в нього води ззовні (гідроудар)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;</w:t>
            </w:r>
          </w:p>
          <w:p w14:paraId="396F278F" w14:textId="77777777" w:rsidR="00A31EB4" w:rsidRPr="00D2763A" w:rsidRDefault="00A31EB4" w:rsidP="00D327C7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інші випадки зовнішнього фізичного впливу інших випадкових раптових та непередбачуваних подій, які призвели до пошкодження або знищення застрахованого ТЗ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4536" w:type="dxa"/>
          </w:tcPr>
          <w:p w14:paraId="784D7BA0" w14:textId="77777777" w:rsidR="00A31EB4" w:rsidRPr="00305776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A31EB4" w:rsidRPr="00557A29" w14:paraId="3D219127" w14:textId="77777777" w:rsidTr="00D327C7">
        <w:trPr>
          <w:trHeight w:val="367"/>
        </w:trPr>
        <w:tc>
          <w:tcPr>
            <w:tcW w:w="5529" w:type="dxa"/>
          </w:tcPr>
          <w:p w14:paraId="638D9E92" w14:textId="77777777" w:rsidR="00A31EB4" w:rsidRPr="00D2763A" w:rsidRDefault="00A31EB4" w:rsidP="00A31EB4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Військові ризики, ліміт 10% від страхової суми по кожному окремому застрахованому ТЗ.</w:t>
            </w:r>
          </w:p>
        </w:tc>
        <w:tc>
          <w:tcPr>
            <w:tcW w:w="4536" w:type="dxa"/>
          </w:tcPr>
          <w:p w14:paraId="4B094179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76F0A2E6" w14:textId="77777777" w:rsidTr="00D327C7">
        <w:trPr>
          <w:trHeight w:val="367"/>
        </w:trPr>
        <w:tc>
          <w:tcPr>
            <w:tcW w:w="5529" w:type="dxa"/>
          </w:tcPr>
          <w:p w14:paraId="4BCA68F9" w14:textId="77777777" w:rsidR="00A31EB4" w:rsidRPr="00203112" w:rsidRDefault="00A31EB4" w:rsidP="00A31EB4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318" w:firstLine="0"/>
              <w:contextualSpacing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uk-UA"/>
              </w:rPr>
            </w:pPr>
            <w:r w:rsidRPr="00203112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lang w:val="uk-UA"/>
              </w:rPr>
              <w:t xml:space="preserve"> Якщо існує покриття інших ризиків, просимо їх прописати в даному рядку</w:t>
            </w:r>
          </w:p>
        </w:tc>
        <w:tc>
          <w:tcPr>
            <w:tcW w:w="4536" w:type="dxa"/>
          </w:tcPr>
          <w:p w14:paraId="2F29F033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6F95917B" w14:textId="77777777" w:rsidTr="00D327C7">
        <w:trPr>
          <w:trHeight w:val="367"/>
        </w:trPr>
        <w:tc>
          <w:tcPr>
            <w:tcW w:w="10065" w:type="dxa"/>
            <w:gridSpan w:val="2"/>
            <w:vAlign w:val="center"/>
          </w:tcPr>
          <w:p w14:paraId="08A6519C" w14:textId="77777777" w:rsidR="00A31EB4" w:rsidRPr="00D2763A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i/>
                <w:iCs/>
                <w:color w:val="808080"/>
                <w:sz w:val="22"/>
                <w:szCs w:val="22"/>
                <w:lang w:val="uk-UA" w:eastAsia="uk-UA"/>
              </w:rPr>
            </w:pPr>
            <w:r w:rsidRPr="00D2763A">
              <w:rPr>
                <w:i/>
                <w:iCs/>
                <w:color w:val="808080"/>
                <w:sz w:val="22"/>
                <w:szCs w:val="22"/>
                <w:lang w:val="uk-UA" w:eastAsia="uk-UA"/>
              </w:rPr>
              <w:t>До розгляду допускаються пропозиції з переліком страхових ризиків не менше наведених</w:t>
            </w:r>
          </w:p>
        </w:tc>
      </w:tr>
      <w:tr w:rsidR="00A31EB4" w:rsidRPr="00557A29" w14:paraId="53E02DE0" w14:textId="77777777" w:rsidTr="00D327C7">
        <w:trPr>
          <w:trHeight w:val="367"/>
        </w:trPr>
        <w:tc>
          <w:tcPr>
            <w:tcW w:w="10065" w:type="dxa"/>
            <w:gridSpan w:val="2"/>
            <w:shd w:val="clear" w:color="auto" w:fill="D1D1D1" w:themeFill="background2" w:themeFillShade="E6"/>
          </w:tcPr>
          <w:p w14:paraId="57FB0448" w14:textId="77777777" w:rsidR="00A31EB4" w:rsidRPr="00D2763A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435BA">
              <w:rPr>
                <w:rFonts w:ascii="Times New Roman" w:hAnsi="Times New Roman" w:cs="Times New Roman"/>
                <w:b/>
                <w:lang w:val="uk-UA"/>
              </w:rPr>
              <w:t xml:space="preserve">ІІ. Умови   </w:t>
            </w:r>
            <w:r w:rsidRPr="00D2763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(надайте в цьому розділі підтвердження забезпечення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вказаних умов</w:t>
            </w:r>
            <w:r w:rsidRPr="00D2763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по кожному вказаному пункту (ТАК/НІ), в разі потреби, </w:t>
            </w:r>
            <w:proofErr w:type="spellStart"/>
            <w:r w:rsidRPr="00D2763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пропишіть</w:t>
            </w:r>
            <w:proofErr w:type="spellEnd"/>
            <w:r w:rsidRPr="00D2763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коментарі)</w:t>
            </w:r>
            <w:r w:rsidRPr="00D2763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</w:tc>
      </w:tr>
      <w:tr w:rsidR="00A31EB4" w:rsidRPr="00557A29" w14:paraId="0A8566CB" w14:textId="77777777" w:rsidTr="00D327C7">
        <w:trPr>
          <w:trHeight w:val="367"/>
        </w:trPr>
        <w:tc>
          <w:tcPr>
            <w:tcW w:w="5529" w:type="dxa"/>
          </w:tcPr>
          <w:p w14:paraId="5A4CBD8B" w14:textId="77777777" w:rsidR="00A31EB4" w:rsidRPr="00D2763A" w:rsidRDefault="00A31EB4" w:rsidP="00A31EB4">
            <w:pPr>
              <w:pStyle w:val="aa"/>
              <w:numPr>
                <w:ilvl w:val="0"/>
                <w:numId w:val="29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Повне каско, без урахування зносу, без обмежень по зберіганню, до керування допущені всі особи на законних підставах, без обмежень по віку та стажу керування.</w:t>
            </w:r>
          </w:p>
        </w:tc>
        <w:tc>
          <w:tcPr>
            <w:tcW w:w="4536" w:type="dxa"/>
          </w:tcPr>
          <w:p w14:paraId="4D106F29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7F5ABD3F" w14:textId="77777777" w:rsidTr="00D327C7">
        <w:trPr>
          <w:trHeight w:val="367"/>
        </w:trPr>
        <w:tc>
          <w:tcPr>
            <w:tcW w:w="5529" w:type="dxa"/>
          </w:tcPr>
          <w:p w14:paraId="3AC526A1" w14:textId="77777777" w:rsidR="00A31EB4" w:rsidRPr="00D2763A" w:rsidRDefault="00A31EB4" w:rsidP="00A31EB4">
            <w:pPr>
              <w:pStyle w:val="aa"/>
              <w:numPr>
                <w:ilvl w:val="0"/>
                <w:numId w:val="29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Ремонтна калькуляція на підставі розцінок гарантійного СТО.</w:t>
            </w:r>
          </w:p>
        </w:tc>
        <w:tc>
          <w:tcPr>
            <w:tcW w:w="4536" w:type="dxa"/>
          </w:tcPr>
          <w:p w14:paraId="3867C0C3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65B3AF01" w14:textId="77777777" w:rsidTr="00D327C7">
        <w:trPr>
          <w:trHeight w:val="367"/>
        </w:trPr>
        <w:tc>
          <w:tcPr>
            <w:tcW w:w="5529" w:type="dxa"/>
          </w:tcPr>
          <w:p w14:paraId="571B13DE" w14:textId="77777777" w:rsidR="00A31EB4" w:rsidRPr="00D2763A" w:rsidRDefault="00A31EB4" w:rsidP="00A31EB4">
            <w:pPr>
              <w:pStyle w:val="aa"/>
              <w:numPr>
                <w:ilvl w:val="0"/>
                <w:numId w:val="29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Евакуація при ДТП в ліміті 4000 на кожний страховий випадок.</w:t>
            </w:r>
          </w:p>
        </w:tc>
        <w:tc>
          <w:tcPr>
            <w:tcW w:w="4536" w:type="dxa"/>
          </w:tcPr>
          <w:p w14:paraId="44D620C3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02164F11" w14:textId="77777777" w:rsidTr="00D327C7">
        <w:trPr>
          <w:trHeight w:val="367"/>
        </w:trPr>
        <w:tc>
          <w:tcPr>
            <w:tcW w:w="5529" w:type="dxa"/>
          </w:tcPr>
          <w:p w14:paraId="394DB538" w14:textId="77777777" w:rsidR="00A31EB4" w:rsidRPr="00D2763A" w:rsidRDefault="00A31EB4" w:rsidP="00A31EB4">
            <w:pPr>
              <w:pStyle w:val="aa"/>
              <w:numPr>
                <w:ilvl w:val="0"/>
                <w:numId w:val="29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Покриття збитків внаслідок грубих порушень ПДР.</w:t>
            </w:r>
          </w:p>
        </w:tc>
        <w:tc>
          <w:tcPr>
            <w:tcW w:w="4536" w:type="dxa"/>
          </w:tcPr>
          <w:p w14:paraId="752E08D8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7740948F" w14:textId="77777777" w:rsidTr="00D327C7">
        <w:trPr>
          <w:trHeight w:val="367"/>
        </w:trPr>
        <w:tc>
          <w:tcPr>
            <w:tcW w:w="5529" w:type="dxa"/>
          </w:tcPr>
          <w:p w14:paraId="2CE3F7C0" w14:textId="77777777" w:rsidR="00A31EB4" w:rsidRPr="00D2763A" w:rsidRDefault="00A31EB4" w:rsidP="00A31EB4">
            <w:pPr>
              <w:pStyle w:val="aa"/>
              <w:numPr>
                <w:ilvl w:val="0"/>
                <w:numId w:val="29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Виплата без довідки компетентних органів при збитку  до 10% СС по ТЗ,  але не менше 80 тис. грн.</w:t>
            </w:r>
          </w:p>
        </w:tc>
        <w:tc>
          <w:tcPr>
            <w:tcW w:w="4536" w:type="dxa"/>
          </w:tcPr>
          <w:p w14:paraId="40A4398C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56C9115E" w14:textId="77777777" w:rsidTr="00D327C7">
        <w:trPr>
          <w:trHeight w:val="367"/>
        </w:trPr>
        <w:tc>
          <w:tcPr>
            <w:tcW w:w="5529" w:type="dxa"/>
          </w:tcPr>
          <w:p w14:paraId="039036F3" w14:textId="77777777" w:rsidR="00A31EB4" w:rsidRPr="00D2763A" w:rsidRDefault="00A31EB4" w:rsidP="00A31EB4">
            <w:pPr>
              <w:pStyle w:val="aa"/>
              <w:numPr>
                <w:ilvl w:val="0"/>
                <w:numId w:val="29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 скляним деталям  виплата без довідки компетентних органів  без обмежень по сумі збитку та кількості випадків.</w:t>
            </w:r>
          </w:p>
        </w:tc>
        <w:tc>
          <w:tcPr>
            <w:tcW w:w="4536" w:type="dxa"/>
          </w:tcPr>
          <w:p w14:paraId="4E98CBA3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2C62987E" w14:textId="77777777" w:rsidTr="00D327C7">
        <w:trPr>
          <w:trHeight w:val="367"/>
        </w:trPr>
        <w:tc>
          <w:tcPr>
            <w:tcW w:w="5529" w:type="dxa"/>
          </w:tcPr>
          <w:p w14:paraId="7AAC253A" w14:textId="77777777" w:rsidR="00A31EB4" w:rsidRPr="00D2763A" w:rsidRDefault="00A31EB4" w:rsidP="00A31EB4">
            <w:pPr>
              <w:pStyle w:val="aa"/>
              <w:numPr>
                <w:ilvl w:val="0"/>
                <w:numId w:val="29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9D780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Ризик гідроудару без обмежень по кількості  випадків.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536" w:type="dxa"/>
          </w:tcPr>
          <w:p w14:paraId="391D195B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60E356EF" w14:textId="77777777" w:rsidTr="00D327C7">
        <w:trPr>
          <w:trHeight w:val="367"/>
        </w:trPr>
        <w:tc>
          <w:tcPr>
            <w:tcW w:w="5529" w:type="dxa"/>
          </w:tcPr>
          <w:p w14:paraId="5D80EAD8" w14:textId="77777777" w:rsidR="00A31EB4" w:rsidRPr="00D2763A" w:rsidRDefault="00A31EB4" w:rsidP="00A31EB4">
            <w:pPr>
              <w:pStyle w:val="aa"/>
              <w:numPr>
                <w:ilvl w:val="0"/>
                <w:numId w:val="29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lastRenderedPageBreak/>
              <w:t xml:space="preserve">Територія покриття: Україна (крім тимчасово непідконтрольних територій та зони бойових дій), країни Європи ( за виключенням території </w:t>
            </w:r>
            <w:proofErr w:type="spellStart"/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рф</w:t>
            </w:r>
            <w:proofErr w:type="spellEnd"/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еспубліки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б</w:t>
            </w: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ілорусь</w:t>
            </w:r>
            <w:proofErr w:type="spellEnd"/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) Грузія,  Туреччина. Дистанційне надання документів у разі страхового випадку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4536" w:type="dxa"/>
          </w:tcPr>
          <w:p w14:paraId="35BE4ED7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7B9E354C" w14:textId="77777777" w:rsidTr="00D327C7">
        <w:trPr>
          <w:trHeight w:val="367"/>
        </w:trPr>
        <w:tc>
          <w:tcPr>
            <w:tcW w:w="5529" w:type="dxa"/>
          </w:tcPr>
          <w:p w14:paraId="0C8AFDF2" w14:textId="77777777" w:rsidR="00A31EB4" w:rsidRPr="00D2763A" w:rsidRDefault="00A31EB4" w:rsidP="00A31EB4">
            <w:pPr>
              <w:pStyle w:val="aa"/>
              <w:numPr>
                <w:ilvl w:val="0"/>
                <w:numId w:val="29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2763A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Прийняття рішення про виплату страхового відшкодування  - 10 робочих днів з моменту отримання Страховиком всіх необхідних документів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4536" w:type="dxa"/>
          </w:tcPr>
          <w:p w14:paraId="4B3CEEB3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1BD06BE5" w14:textId="77777777" w:rsidTr="00D327C7">
        <w:trPr>
          <w:trHeight w:val="367"/>
        </w:trPr>
        <w:tc>
          <w:tcPr>
            <w:tcW w:w="5529" w:type="dxa"/>
          </w:tcPr>
          <w:p w14:paraId="7F6F9081" w14:textId="77777777" w:rsidR="00A31EB4" w:rsidRPr="00454038" w:rsidRDefault="00A31EB4" w:rsidP="00A31EB4">
            <w:pPr>
              <w:pStyle w:val="aa"/>
              <w:numPr>
                <w:ilvl w:val="0"/>
                <w:numId w:val="29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5403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Виплата страхового відшкодування - 14 робочих днів з моменту прийняття рішення про виплату страхового відшкодування.</w:t>
            </w:r>
          </w:p>
        </w:tc>
        <w:tc>
          <w:tcPr>
            <w:tcW w:w="4536" w:type="dxa"/>
          </w:tcPr>
          <w:p w14:paraId="76079447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77723003" w14:textId="77777777" w:rsidTr="00D327C7">
        <w:trPr>
          <w:trHeight w:val="367"/>
        </w:trPr>
        <w:tc>
          <w:tcPr>
            <w:tcW w:w="5529" w:type="dxa"/>
          </w:tcPr>
          <w:p w14:paraId="25C7ECA9" w14:textId="77777777" w:rsidR="00A31EB4" w:rsidRPr="00454038" w:rsidRDefault="00A31EB4" w:rsidP="00A31EB4">
            <w:pPr>
              <w:pStyle w:val="aa"/>
              <w:numPr>
                <w:ilvl w:val="0"/>
                <w:numId w:val="29"/>
              </w:numPr>
              <w:spacing w:before="0" w:beforeAutospacing="0" w:after="0" w:afterAutospacing="0"/>
              <w:ind w:left="176" w:hanging="142"/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5403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Пряме врегулювання, наявність розвиненої мережі партнерських СТО, врегулювання без візиту до офісу страхової компанії (онлайн/за принципом дистанційного врегулювання).</w:t>
            </w:r>
          </w:p>
        </w:tc>
        <w:tc>
          <w:tcPr>
            <w:tcW w:w="4536" w:type="dxa"/>
          </w:tcPr>
          <w:p w14:paraId="01CED947" w14:textId="77777777" w:rsidR="00A31EB4" w:rsidRPr="00EA2E17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31EB4" w:rsidRPr="00557A29" w14:paraId="7087968C" w14:textId="77777777" w:rsidTr="00D327C7">
        <w:trPr>
          <w:trHeight w:val="367"/>
        </w:trPr>
        <w:tc>
          <w:tcPr>
            <w:tcW w:w="10065" w:type="dxa"/>
            <w:gridSpan w:val="2"/>
            <w:vAlign w:val="bottom"/>
          </w:tcPr>
          <w:p w14:paraId="2F9E8CAD" w14:textId="77777777" w:rsidR="00A31EB4" w:rsidRPr="00D2763A" w:rsidRDefault="00A31EB4" w:rsidP="00D327C7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D2763A">
              <w:rPr>
                <w:i/>
                <w:iCs/>
                <w:color w:val="808080"/>
                <w:sz w:val="22"/>
                <w:szCs w:val="22"/>
                <w:lang w:val="uk-UA" w:eastAsia="uk-UA"/>
              </w:rPr>
              <w:t>Допускається пропозиція з функціональними характеристиками не гірше наведених</w:t>
            </w:r>
          </w:p>
        </w:tc>
      </w:tr>
    </w:tbl>
    <w:p w14:paraId="1CA76090" w14:textId="77777777" w:rsidR="00A31EB4" w:rsidRPr="00AF423A" w:rsidRDefault="00A31EB4" w:rsidP="00A31EB4">
      <w:pPr>
        <w:ind w:left="540"/>
        <w:contextualSpacing/>
        <w:jc w:val="center"/>
        <w:rPr>
          <w:sz w:val="22"/>
          <w:szCs w:val="22"/>
        </w:rPr>
      </w:pPr>
    </w:p>
    <w:p w14:paraId="7C883A9A" w14:textId="77777777" w:rsidR="00123F66" w:rsidRDefault="00123F66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7166378D" w14:textId="77777777" w:rsidR="00123F66" w:rsidRDefault="00123F66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107BF0F7" w14:textId="77777777" w:rsidR="00123F66" w:rsidRDefault="00123F66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6099993B" w14:textId="77777777" w:rsidR="00123F66" w:rsidRDefault="00123F66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146D07D3" w14:textId="77777777" w:rsidR="00123F66" w:rsidRPr="00531333" w:rsidRDefault="00123F66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2DD315D4" w14:textId="77777777" w:rsidR="00EA67E2" w:rsidRPr="00FD138E" w:rsidRDefault="1327F54A" w:rsidP="13BABAE6">
      <w:pPr>
        <w:jc w:val="center"/>
        <w:textAlignment w:val="baseline"/>
        <w:rPr>
          <w:sz w:val="22"/>
          <w:szCs w:val="22"/>
          <w:lang w:val="uk-UA" w:eastAsia="uk-UA"/>
        </w:rPr>
      </w:pPr>
      <w:r w:rsidRPr="00FD138E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FD138E">
        <w:rPr>
          <w:lang w:val="uk-UA"/>
        </w:rPr>
        <w:tab/>
      </w:r>
      <w:r w:rsidRPr="00FD138E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4696B2DB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3B4A" w14:textId="77777777" w:rsidR="008F20A3" w:rsidRDefault="008F20A3" w:rsidP="00B948CF">
      <w:r>
        <w:separator/>
      </w:r>
    </w:p>
  </w:endnote>
  <w:endnote w:type="continuationSeparator" w:id="0">
    <w:p w14:paraId="6CD55772" w14:textId="77777777" w:rsidR="008F20A3" w:rsidRDefault="008F20A3" w:rsidP="00B948CF">
      <w:r>
        <w:continuationSeparator/>
      </w:r>
    </w:p>
  </w:endnote>
  <w:endnote w:type="continuationNotice" w:id="1">
    <w:p w14:paraId="49907349" w14:textId="77777777" w:rsidR="008F20A3" w:rsidRDefault="008F2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19F0" w14:textId="77777777" w:rsidR="008F20A3" w:rsidRDefault="008F20A3" w:rsidP="00B948CF">
      <w:r>
        <w:separator/>
      </w:r>
    </w:p>
  </w:footnote>
  <w:footnote w:type="continuationSeparator" w:id="0">
    <w:p w14:paraId="24834801" w14:textId="77777777" w:rsidR="008F20A3" w:rsidRDefault="008F20A3" w:rsidP="00B948CF">
      <w:r>
        <w:continuationSeparator/>
      </w:r>
    </w:p>
  </w:footnote>
  <w:footnote w:type="continuationNotice" w:id="1">
    <w:p w14:paraId="2B84EA83" w14:textId="77777777" w:rsidR="008F20A3" w:rsidRDefault="008F2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2DAD7AA3"/>
    <w:multiLevelType w:val="hybridMultilevel"/>
    <w:tmpl w:val="CB0888FA"/>
    <w:lvl w:ilvl="0" w:tplc="B8BC99A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D1799"/>
    <w:multiLevelType w:val="hybridMultilevel"/>
    <w:tmpl w:val="7B226DC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5004AB"/>
    <w:multiLevelType w:val="hybridMultilevel"/>
    <w:tmpl w:val="64160B24"/>
    <w:lvl w:ilvl="0" w:tplc="44FC084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0"/>
  </w:num>
  <w:num w:numId="5" w16cid:durableId="555745601">
    <w:abstractNumId w:val="22"/>
  </w:num>
  <w:num w:numId="6" w16cid:durableId="725567586">
    <w:abstractNumId w:val="25"/>
  </w:num>
  <w:num w:numId="7" w16cid:durableId="1595630758">
    <w:abstractNumId w:val="19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6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4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1"/>
  </w:num>
  <w:num w:numId="20" w16cid:durableId="1921986476">
    <w:abstractNumId w:val="2"/>
  </w:num>
  <w:num w:numId="21" w16cid:durableId="598562130">
    <w:abstractNumId w:val="27"/>
  </w:num>
  <w:num w:numId="22" w16cid:durableId="110633945">
    <w:abstractNumId w:val="23"/>
  </w:num>
  <w:num w:numId="23" w16cid:durableId="16469997">
    <w:abstractNumId w:val="29"/>
  </w:num>
  <w:num w:numId="24" w16cid:durableId="1249655854">
    <w:abstractNumId w:val="28"/>
  </w:num>
  <w:num w:numId="25" w16cid:durableId="697197521">
    <w:abstractNumId w:val="7"/>
  </w:num>
  <w:num w:numId="26" w16cid:durableId="349528681">
    <w:abstractNumId w:val="15"/>
  </w:num>
  <w:num w:numId="27" w16cid:durableId="1934510745">
    <w:abstractNumId w:val="6"/>
  </w:num>
  <w:num w:numId="28" w16cid:durableId="1167013335">
    <w:abstractNumId w:val="9"/>
  </w:num>
  <w:num w:numId="29" w16cid:durableId="105015011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3BEA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17C79"/>
    <w:rsid w:val="001229D3"/>
    <w:rsid w:val="0012328E"/>
    <w:rsid w:val="001232E2"/>
    <w:rsid w:val="001237BA"/>
    <w:rsid w:val="00123F66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3910"/>
    <w:rsid w:val="0016528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655F"/>
    <w:rsid w:val="0018701A"/>
    <w:rsid w:val="001878F3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5119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3112"/>
    <w:rsid w:val="002041FF"/>
    <w:rsid w:val="00204A82"/>
    <w:rsid w:val="00204FE3"/>
    <w:rsid w:val="00210CE8"/>
    <w:rsid w:val="002113A3"/>
    <w:rsid w:val="00211859"/>
    <w:rsid w:val="002144F0"/>
    <w:rsid w:val="002174C2"/>
    <w:rsid w:val="00220C1E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8704D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776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D8D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5400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08AA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4038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0F8C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46F60"/>
    <w:rsid w:val="005515A5"/>
    <w:rsid w:val="0055168C"/>
    <w:rsid w:val="00553EF0"/>
    <w:rsid w:val="00556428"/>
    <w:rsid w:val="00557A29"/>
    <w:rsid w:val="00557AB4"/>
    <w:rsid w:val="0056034F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108A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090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47EE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43C7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34D1"/>
    <w:rsid w:val="006F482D"/>
    <w:rsid w:val="006F48A8"/>
    <w:rsid w:val="006F4F15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3FB"/>
    <w:rsid w:val="00750EE5"/>
    <w:rsid w:val="007525CF"/>
    <w:rsid w:val="00752AFD"/>
    <w:rsid w:val="007545FF"/>
    <w:rsid w:val="007552D8"/>
    <w:rsid w:val="007556D6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77F5C"/>
    <w:rsid w:val="007834E6"/>
    <w:rsid w:val="0078500B"/>
    <w:rsid w:val="0079464B"/>
    <w:rsid w:val="00796129"/>
    <w:rsid w:val="0079687D"/>
    <w:rsid w:val="007970A2"/>
    <w:rsid w:val="007A1CB4"/>
    <w:rsid w:val="007A48B9"/>
    <w:rsid w:val="007B29F9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3194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20A3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221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7742C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4D33"/>
    <w:rsid w:val="009C07FC"/>
    <w:rsid w:val="009C1BC8"/>
    <w:rsid w:val="009C389A"/>
    <w:rsid w:val="009C3D48"/>
    <w:rsid w:val="009D1787"/>
    <w:rsid w:val="009D4140"/>
    <w:rsid w:val="009D780A"/>
    <w:rsid w:val="009E0868"/>
    <w:rsid w:val="009E14CE"/>
    <w:rsid w:val="009E16A6"/>
    <w:rsid w:val="009E37BB"/>
    <w:rsid w:val="009E4813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1EB4"/>
    <w:rsid w:val="00A3509F"/>
    <w:rsid w:val="00A3721F"/>
    <w:rsid w:val="00A37570"/>
    <w:rsid w:val="00A476ED"/>
    <w:rsid w:val="00A50B45"/>
    <w:rsid w:val="00A514CD"/>
    <w:rsid w:val="00A526B6"/>
    <w:rsid w:val="00A52A59"/>
    <w:rsid w:val="00A5452B"/>
    <w:rsid w:val="00A5483A"/>
    <w:rsid w:val="00A554D5"/>
    <w:rsid w:val="00A56830"/>
    <w:rsid w:val="00A56997"/>
    <w:rsid w:val="00A60480"/>
    <w:rsid w:val="00A6169D"/>
    <w:rsid w:val="00A63F48"/>
    <w:rsid w:val="00A64AB2"/>
    <w:rsid w:val="00A64BD3"/>
    <w:rsid w:val="00A6596D"/>
    <w:rsid w:val="00A660F9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0C10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C7AEF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07B0B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2B06"/>
    <w:rsid w:val="00B8341B"/>
    <w:rsid w:val="00B83699"/>
    <w:rsid w:val="00B84226"/>
    <w:rsid w:val="00B84498"/>
    <w:rsid w:val="00B86116"/>
    <w:rsid w:val="00B861A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D6EAD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6A11"/>
    <w:rsid w:val="00C178DA"/>
    <w:rsid w:val="00C20F20"/>
    <w:rsid w:val="00C210BB"/>
    <w:rsid w:val="00C212B9"/>
    <w:rsid w:val="00C23604"/>
    <w:rsid w:val="00C2564E"/>
    <w:rsid w:val="00C26D29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7ED"/>
    <w:rsid w:val="00CD0A7D"/>
    <w:rsid w:val="00CD5018"/>
    <w:rsid w:val="00CD73BB"/>
    <w:rsid w:val="00CE16D0"/>
    <w:rsid w:val="00CE1BC1"/>
    <w:rsid w:val="00CE3B5B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46D37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6745B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7622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69A2"/>
    <w:rsid w:val="00DF7213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4BAD"/>
    <w:rsid w:val="00E260CB"/>
    <w:rsid w:val="00E26A90"/>
    <w:rsid w:val="00E27238"/>
    <w:rsid w:val="00E27AFC"/>
    <w:rsid w:val="00E3288F"/>
    <w:rsid w:val="00E344E4"/>
    <w:rsid w:val="00E370BE"/>
    <w:rsid w:val="00E37FCD"/>
    <w:rsid w:val="00E40717"/>
    <w:rsid w:val="00E44888"/>
    <w:rsid w:val="00E44DA4"/>
    <w:rsid w:val="00E45E30"/>
    <w:rsid w:val="00E46B58"/>
    <w:rsid w:val="00E4770D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5A0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171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06E2"/>
    <w:rsid w:val="00F630E6"/>
    <w:rsid w:val="00F65484"/>
    <w:rsid w:val="00F67766"/>
    <w:rsid w:val="00F70598"/>
    <w:rsid w:val="00F709A0"/>
    <w:rsid w:val="00F715FD"/>
    <w:rsid w:val="00F73140"/>
    <w:rsid w:val="00F74686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6BC7"/>
    <w:rsid w:val="00FB0EE1"/>
    <w:rsid w:val="00FB1136"/>
    <w:rsid w:val="00FB3469"/>
    <w:rsid w:val="00FB45BC"/>
    <w:rsid w:val="00FB6027"/>
    <w:rsid w:val="00FC0207"/>
    <w:rsid w:val="00FC1190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3093</Words>
  <Characters>21345</Characters>
  <Application>Microsoft Office Word</Application>
  <DocSecurity>0</DocSecurity>
  <Lines>547</Lines>
  <Paragraphs>224</Paragraphs>
  <ScaleCrop>false</ScaleCrop>
  <Company>AUN of PLWH</Company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109</cp:revision>
  <cp:lastPrinted>2023-12-29T18:52:00Z</cp:lastPrinted>
  <dcterms:created xsi:type="dcterms:W3CDTF">2024-10-29T19:58:00Z</dcterms:created>
  <dcterms:modified xsi:type="dcterms:W3CDTF">2026-02-09T12:00:00Z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