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C02" w14:textId="1FE68965" w:rsidR="00606079" w:rsidRPr="006A00F9" w:rsidRDefault="00E54E1A" w:rsidP="00BC0CE4">
      <w:pPr>
        <w:ind w:left="142" w:firstLine="284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BC0CE4">
        <w:rPr>
          <w:b/>
          <w:strike/>
          <w:color w:val="EE0000"/>
          <w:sz w:val="22"/>
          <w:szCs w:val="22"/>
          <w:lang w:val="uk-UA"/>
        </w:rPr>
        <w:t>«</w:t>
      </w:r>
      <w:r w:rsidR="00C0618A" w:rsidRPr="00BC0CE4">
        <w:rPr>
          <w:b/>
          <w:strike/>
          <w:color w:val="EE0000"/>
          <w:sz w:val="22"/>
          <w:szCs w:val="22"/>
          <w:lang w:val="uk-UA"/>
        </w:rPr>
        <w:t>30</w:t>
      </w:r>
      <w:r w:rsidRPr="00BC0CE4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BC0CE4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C0618A" w:rsidRPr="00BC0CE4">
        <w:rPr>
          <w:b/>
          <w:strike/>
          <w:color w:val="EE0000"/>
          <w:sz w:val="22"/>
          <w:szCs w:val="22"/>
          <w:lang w:val="uk-UA"/>
        </w:rPr>
        <w:t xml:space="preserve">жовтня </w:t>
      </w:r>
      <w:r w:rsidRPr="00BC0CE4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BC0CE4">
        <w:rPr>
          <w:b/>
          <w:strike/>
          <w:color w:val="EE0000"/>
          <w:sz w:val="22"/>
          <w:szCs w:val="22"/>
          <w:lang w:val="uk-UA"/>
        </w:rPr>
        <w:t>2</w:t>
      </w:r>
      <w:r w:rsidR="00C0618A" w:rsidRPr="00BC0CE4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BC0CE4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BC0CE4">
        <w:rPr>
          <w:b/>
          <w:strike/>
          <w:color w:val="EE0000"/>
          <w:sz w:val="22"/>
          <w:szCs w:val="22"/>
          <w:lang w:val="uk-UA"/>
        </w:rPr>
        <w:t>р.</w:t>
      </w:r>
    </w:p>
    <w:p w14:paraId="5A9D6229" w14:textId="5A9BC630" w:rsidR="00BC0CE4" w:rsidRDefault="00BC0CE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</w:t>
      </w:r>
      <w:r w:rsidRPr="00F6391E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06</w:t>
      </w:r>
      <w:r w:rsidRPr="00F6391E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листопада</w:t>
      </w:r>
      <w:r w:rsidRPr="006A00F9">
        <w:rPr>
          <w:b/>
          <w:sz w:val="22"/>
          <w:szCs w:val="22"/>
          <w:lang w:val="uk-UA"/>
        </w:rPr>
        <w:t xml:space="preserve"> 2025 р.</w:t>
      </w:r>
    </w:p>
    <w:p w14:paraId="4E497EC1" w14:textId="77777777" w:rsidR="00BC0CE4" w:rsidRDefault="00BC0CE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</w:p>
    <w:p w14:paraId="1D461A42" w14:textId="250F129B" w:rsidR="00203564" w:rsidRPr="006A00F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6A00F9">
        <w:rPr>
          <w:b/>
          <w:bCs/>
          <w:sz w:val="22"/>
          <w:szCs w:val="22"/>
        </w:rPr>
        <w:t>ЗАПИТ ЦІНОВИХ ПРОПОЗИЦІЙ</w:t>
      </w:r>
      <w:r w:rsidR="00C0618A" w:rsidRPr="006A00F9">
        <w:rPr>
          <w:b/>
          <w:bCs/>
          <w:sz w:val="22"/>
          <w:szCs w:val="22"/>
          <w:lang w:val="uk-UA"/>
        </w:rPr>
        <w:t>_2404ОК</w:t>
      </w:r>
    </w:p>
    <w:p w14:paraId="256A0BED" w14:textId="77777777" w:rsidR="007674AA" w:rsidRPr="006A00F9" w:rsidRDefault="00203564" w:rsidP="000B2556">
      <w:pPr>
        <w:ind w:left="142" w:firstLine="284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 xml:space="preserve"> </w:t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  <w:t>(далі – „</w:t>
      </w:r>
      <w:r w:rsidRPr="006A00F9">
        <w:rPr>
          <w:b/>
          <w:sz w:val="22"/>
          <w:szCs w:val="22"/>
          <w:lang w:val="uk-UA"/>
        </w:rPr>
        <w:t>Запит</w:t>
      </w:r>
      <w:r w:rsidRPr="006A00F9">
        <w:rPr>
          <w:sz w:val="22"/>
          <w:szCs w:val="22"/>
          <w:lang w:val="uk-UA"/>
        </w:rPr>
        <w:t>”)</w:t>
      </w:r>
    </w:p>
    <w:p w14:paraId="7058548B" w14:textId="77777777" w:rsidR="00203564" w:rsidRPr="006A00F9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2910E350" w:rsidR="004647AE" w:rsidRPr="006A00F9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>Товариство Червоного Хреста України (далі – «</w:t>
      </w:r>
      <w:r w:rsidRPr="006A00F9">
        <w:rPr>
          <w:b/>
          <w:bCs/>
          <w:sz w:val="22"/>
          <w:szCs w:val="22"/>
          <w:lang w:val="uk-UA"/>
        </w:rPr>
        <w:t>Замовник</w:t>
      </w:r>
      <w:r w:rsidRPr="006A00F9">
        <w:rPr>
          <w:sz w:val="22"/>
          <w:szCs w:val="22"/>
          <w:lang w:val="uk-UA"/>
        </w:rPr>
        <w:t xml:space="preserve">») оголошує </w:t>
      </w:r>
      <w:r w:rsidR="00BC0CE4">
        <w:rPr>
          <w:sz w:val="22"/>
          <w:szCs w:val="22"/>
          <w:lang w:val="uk-UA"/>
        </w:rPr>
        <w:t xml:space="preserve">продовження </w:t>
      </w:r>
      <w:r w:rsidR="00D96756" w:rsidRPr="006A00F9">
        <w:rPr>
          <w:sz w:val="22"/>
          <w:szCs w:val="22"/>
          <w:lang w:val="uk-UA"/>
        </w:rPr>
        <w:t>конкурс</w:t>
      </w:r>
      <w:r w:rsidR="00BC0CE4">
        <w:rPr>
          <w:sz w:val="22"/>
          <w:szCs w:val="22"/>
          <w:lang w:val="uk-UA"/>
        </w:rPr>
        <w:t>у</w:t>
      </w:r>
      <w:r w:rsidR="00D96756" w:rsidRPr="006A00F9">
        <w:rPr>
          <w:sz w:val="22"/>
          <w:szCs w:val="22"/>
          <w:lang w:val="uk-UA"/>
        </w:rPr>
        <w:t xml:space="preserve"> на </w:t>
      </w:r>
      <w:r w:rsidRPr="006A00F9">
        <w:rPr>
          <w:sz w:val="22"/>
          <w:szCs w:val="22"/>
          <w:lang w:val="uk-UA"/>
        </w:rPr>
        <w:t>місцеву закупівлю</w:t>
      </w:r>
      <w:r w:rsidR="007C7D94" w:rsidRPr="006A00F9">
        <w:rPr>
          <w:sz w:val="22"/>
          <w:szCs w:val="22"/>
          <w:lang w:val="uk-UA"/>
        </w:rPr>
        <w:t xml:space="preserve"> </w:t>
      </w:r>
      <w:r w:rsidR="0095670C" w:rsidRPr="006A00F9">
        <w:rPr>
          <w:sz w:val="22"/>
          <w:szCs w:val="22"/>
          <w:lang w:val="uk-UA"/>
        </w:rPr>
        <w:t>послуг з нанесення розмітки підлоги складських приміщень.</w:t>
      </w:r>
    </w:p>
    <w:p w14:paraId="66FB9DD7" w14:textId="77777777" w:rsidR="0095670C" w:rsidRPr="006A00F9" w:rsidRDefault="0095670C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6A00F9" w:rsidRDefault="00A206D9" w:rsidP="00A84B49">
      <w:pPr>
        <w:jc w:val="center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 І. </w:t>
      </w:r>
      <w:r w:rsidR="00A84B49" w:rsidRPr="006A00F9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2348"/>
        <w:gridCol w:w="3380"/>
      </w:tblGrid>
      <w:tr w:rsidR="00A206D9" w:rsidRPr="006A00F9" w14:paraId="428F6868" w14:textId="77777777" w:rsidTr="00EC1C28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551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916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9912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547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6A00F9" w14:paraId="71C46B11" w14:textId="77777777" w:rsidTr="00EC1C2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6A00F9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9C42AD5" w:rsidR="00A206D9" w:rsidRPr="006A00F9" w:rsidRDefault="00BD0CC8" w:rsidP="00A841AA">
            <w:pPr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Послуга з нанесення розмітки підлоги складських приміщень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5519AAF8" w:rsidR="00A206D9" w:rsidRPr="006A00F9" w:rsidRDefault="00A206D9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6A00F9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F363BC" w:rsidRPr="006A00F9">
              <w:rPr>
                <w:bCs/>
                <w:spacing w:val="-6"/>
                <w:sz w:val="22"/>
                <w:szCs w:val="22"/>
                <w:lang w:val="uk-UA"/>
              </w:rPr>
              <w:t>№1</w:t>
            </w:r>
            <w:r w:rsidRPr="006A00F9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67EC507A" w:rsidR="00A206D9" w:rsidRPr="006A00F9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F363BC" w:rsidRPr="006A00F9">
              <w:rPr>
                <w:bCs/>
                <w:sz w:val="22"/>
                <w:szCs w:val="22"/>
                <w:lang w:val="uk-UA"/>
              </w:rPr>
              <w:t>1</w:t>
            </w:r>
            <w:r w:rsidRPr="006A00F9">
              <w:rPr>
                <w:bCs/>
                <w:sz w:val="22"/>
                <w:szCs w:val="22"/>
                <w:lang w:val="uk-UA"/>
              </w:rPr>
              <w:t>, Додатку №</w:t>
            </w:r>
            <w:r w:rsidR="00F363BC" w:rsidRPr="006A00F9">
              <w:rPr>
                <w:bCs/>
                <w:sz w:val="22"/>
                <w:szCs w:val="22"/>
                <w:lang w:val="uk-UA"/>
              </w:rPr>
              <w:t>2</w:t>
            </w:r>
            <w:r w:rsidRPr="006A00F9">
              <w:rPr>
                <w:bCs/>
                <w:sz w:val="22"/>
                <w:szCs w:val="22"/>
                <w:lang w:val="uk-UA"/>
              </w:rPr>
              <w:t xml:space="preserve"> до Запиту</w:t>
            </w:r>
          </w:p>
        </w:tc>
      </w:tr>
    </w:tbl>
    <w:p w14:paraId="7335C75C" w14:textId="47179E35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color w:val="000000"/>
          <w:sz w:val="20"/>
          <w:szCs w:val="20"/>
          <w:lang w:val="uk-UA" w:eastAsia="uk-UA"/>
        </w:rPr>
        <w:t>*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6A00F9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1ACAA988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6A00F9">
        <w:rPr>
          <w:sz w:val="20"/>
          <w:szCs w:val="20"/>
          <w:lang w:val="uk-UA"/>
        </w:rPr>
        <w:t xml:space="preserve"> 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D0CC8" w:rsidRPr="006A00F9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Pr="006A00F9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Pr="006A00F9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A7C1A0C" w:rsidR="003D6052" w:rsidRPr="006A00F9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03E96EB6" w14:textId="77777777" w:rsidR="003D6052" w:rsidRPr="006A00F9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749F7F60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Очікувана дата надання послуг: </w:t>
      </w:r>
      <w:r w:rsidR="00BE6617" w:rsidRPr="006A00F9">
        <w:rPr>
          <w:bCs/>
          <w:sz w:val="22"/>
          <w:szCs w:val="22"/>
          <w:lang w:val="uk-UA"/>
        </w:rPr>
        <w:t xml:space="preserve">до </w:t>
      </w:r>
      <w:r w:rsidR="00181AE4">
        <w:rPr>
          <w:bCs/>
          <w:sz w:val="22"/>
          <w:szCs w:val="22"/>
          <w:lang w:val="uk-UA"/>
        </w:rPr>
        <w:t xml:space="preserve">15 </w:t>
      </w:r>
      <w:r w:rsidR="00BE6617" w:rsidRPr="006A00F9">
        <w:rPr>
          <w:bCs/>
          <w:sz w:val="22"/>
          <w:szCs w:val="22"/>
          <w:lang w:val="uk-UA"/>
        </w:rPr>
        <w:t>грудня 2025 року.</w:t>
      </w:r>
    </w:p>
    <w:p w14:paraId="713E954A" w14:textId="42B0512E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Місце надання послуг: </w:t>
      </w:r>
      <w:r w:rsidR="00331A99" w:rsidRPr="006A00F9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706831" w:rsidRPr="006A00F9">
        <w:rPr>
          <w:bCs/>
          <w:color w:val="000000" w:themeColor="text1"/>
          <w:sz w:val="22"/>
          <w:szCs w:val="22"/>
          <w:lang w:val="uk-UA"/>
        </w:rPr>
        <w:t>Ходорів (Львівська область) та м. Чоп (Закарпатська область).</w:t>
      </w:r>
      <w:r w:rsidR="007F538E" w:rsidRPr="006A00F9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6A00F9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A00F9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243A9C3D" w:rsidR="00C7577B" w:rsidRPr="00F363BC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B4529"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DC7FDB" w14:paraId="611A6914" w14:textId="77777777" w:rsidTr="00801B3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2DEDBFB9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8872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 до форми Додатку №2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DC7FDB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*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Замовник залишає за собою право відхилити </w:t>
            </w:r>
            <w:r w:rsidR="00EF7335"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682BB50D" w:rsidR="00337032" w:rsidRPr="00690D58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690D58">
        <w:rPr>
          <w:sz w:val="22"/>
          <w:szCs w:val="22"/>
          <w:lang w:val="uk-UA"/>
        </w:rPr>
        <w:t>послуг та підпис</w:t>
      </w:r>
      <w:r w:rsidR="00690D58" w:rsidRPr="00690D58">
        <w:rPr>
          <w:sz w:val="22"/>
          <w:szCs w:val="22"/>
          <w:lang w:val="uk-UA"/>
        </w:rPr>
        <w:t>ання</w:t>
      </w:r>
      <w:r w:rsidRPr="00690D58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690D58" w:rsidRPr="00690D58">
        <w:rPr>
          <w:sz w:val="22"/>
          <w:szCs w:val="22"/>
          <w:lang w:val="uk-UA"/>
        </w:rPr>
        <w:t>№2</w:t>
      </w:r>
      <w:r w:rsidRPr="00690D58">
        <w:rPr>
          <w:sz w:val="22"/>
          <w:szCs w:val="22"/>
          <w:lang w:val="uk-UA"/>
        </w:rPr>
        <w:t xml:space="preserve">. </w:t>
      </w:r>
      <w:r w:rsidRPr="00690D58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690D58">
        <w:rPr>
          <w:rFonts w:eastAsia="Arial Unicode MS"/>
          <w:sz w:val="22"/>
          <w:szCs w:val="22"/>
          <w:lang w:val="uk-UA"/>
        </w:rPr>
        <w:t>.</w:t>
      </w:r>
    </w:p>
    <w:p w14:paraId="68B8F526" w14:textId="24689912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lastRenderedPageBreak/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690D58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690D58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690D58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690D58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90D58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690D58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7460161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690D58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690D58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6E319DFA" w:rsidR="00F03751" w:rsidRPr="00C0618A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0618A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C0618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C0618A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E02CEE" w:rsidRPr="00BC0CE4">
        <w:rPr>
          <w:strike/>
          <w:color w:val="EE0000"/>
          <w:sz w:val="22"/>
          <w:szCs w:val="22"/>
          <w:lang w:val="uk-UA" w:eastAsia="uk-UA"/>
        </w:rPr>
        <w:t>04</w:t>
      </w:r>
      <w:r w:rsidRPr="00BC0CE4">
        <w:rPr>
          <w:strike/>
          <w:color w:val="EE0000"/>
          <w:sz w:val="22"/>
          <w:szCs w:val="22"/>
          <w:lang w:val="uk-UA" w:eastAsia="uk-UA"/>
        </w:rPr>
        <w:t>.</w:t>
      </w:r>
      <w:r w:rsidR="00E02CEE" w:rsidRPr="00BC0CE4">
        <w:rPr>
          <w:strike/>
          <w:color w:val="EE0000"/>
          <w:sz w:val="22"/>
          <w:szCs w:val="22"/>
          <w:lang w:val="uk-UA" w:eastAsia="uk-UA"/>
        </w:rPr>
        <w:t>11</w:t>
      </w:r>
      <w:r w:rsidRPr="00BC0CE4">
        <w:rPr>
          <w:strike/>
          <w:color w:val="EE0000"/>
          <w:sz w:val="22"/>
          <w:szCs w:val="22"/>
          <w:lang w:val="uk-UA" w:eastAsia="uk-UA"/>
        </w:rPr>
        <w:t>.202</w:t>
      </w:r>
      <w:r w:rsidR="00E02CEE" w:rsidRPr="00BC0CE4">
        <w:rPr>
          <w:strike/>
          <w:color w:val="EE0000"/>
          <w:sz w:val="22"/>
          <w:szCs w:val="22"/>
          <w:lang w:val="uk-UA" w:eastAsia="uk-UA"/>
        </w:rPr>
        <w:t>5</w:t>
      </w:r>
      <w:r w:rsidRPr="00BC0CE4">
        <w:rPr>
          <w:strike/>
          <w:color w:val="EE0000"/>
          <w:sz w:val="22"/>
          <w:szCs w:val="22"/>
          <w:lang w:val="uk-UA" w:eastAsia="uk-UA"/>
        </w:rPr>
        <w:t>р</w:t>
      </w:r>
      <w:r w:rsidRPr="00BC0CE4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Pr="00BC0CE4">
        <w:rPr>
          <w:color w:val="EE0000"/>
          <w:sz w:val="22"/>
          <w:szCs w:val="22"/>
          <w:lang w:val="uk-UA" w:eastAsia="uk-UA"/>
        </w:rPr>
        <w:t> </w:t>
      </w:r>
      <w:r w:rsidR="00BC0CE4">
        <w:rPr>
          <w:color w:val="000000" w:themeColor="text1"/>
          <w:sz w:val="22"/>
          <w:szCs w:val="22"/>
          <w:lang w:val="uk-UA" w:eastAsia="uk-UA"/>
        </w:rPr>
        <w:t>10</w:t>
      </w:r>
      <w:r w:rsidR="00BC0CE4" w:rsidRPr="00C0618A">
        <w:rPr>
          <w:color w:val="000000" w:themeColor="text1"/>
          <w:sz w:val="22"/>
          <w:szCs w:val="22"/>
          <w:lang w:val="uk-UA" w:eastAsia="uk-UA"/>
        </w:rPr>
        <w:t>.11.2025р</w:t>
      </w:r>
      <w:r w:rsidR="00BC0CE4" w:rsidRPr="00C0618A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BC0CE4" w:rsidRPr="00C0618A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C0618A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0BDA0C13" w:rsidR="00F03751" w:rsidRPr="00C0618A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C0618A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C0618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C0618A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E02CEE" w:rsidRPr="00BC0CE4">
        <w:rPr>
          <w:b/>
          <w:bCs/>
          <w:strike/>
          <w:color w:val="EE0000"/>
          <w:sz w:val="22"/>
          <w:szCs w:val="22"/>
          <w:lang w:val="uk-UA" w:eastAsia="uk-UA"/>
        </w:rPr>
        <w:t>05</w:t>
      </w:r>
      <w:r w:rsidRPr="00BC0CE4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E02CEE" w:rsidRPr="00BC0CE4">
        <w:rPr>
          <w:b/>
          <w:bCs/>
          <w:strike/>
          <w:color w:val="EE0000"/>
          <w:sz w:val="22"/>
          <w:szCs w:val="22"/>
          <w:lang w:val="uk-UA" w:eastAsia="uk-UA"/>
        </w:rPr>
        <w:t>11</w:t>
      </w:r>
      <w:r w:rsidRPr="00BC0CE4">
        <w:rPr>
          <w:b/>
          <w:bCs/>
          <w:strike/>
          <w:color w:val="EE0000"/>
          <w:sz w:val="22"/>
          <w:szCs w:val="22"/>
          <w:lang w:val="uk-UA" w:eastAsia="uk-UA"/>
        </w:rPr>
        <w:t>.202</w:t>
      </w:r>
      <w:r w:rsidR="00E02CEE" w:rsidRPr="00BC0CE4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Pr="00BC0CE4">
        <w:rPr>
          <w:b/>
          <w:bCs/>
          <w:strike/>
          <w:color w:val="EE0000"/>
          <w:sz w:val="22"/>
          <w:szCs w:val="22"/>
          <w:lang w:val="uk-UA" w:eastAsia="uk-UA"/>
        </w:rPr>
        <w:t xml:space="preserve"> року</w:t>
      </w:r>
      <w:r w:rsidR="00BC0CE4" w:rsidRPr="00BC0CE4">
        <w:rPr>
          <w:b/>
          <w:bCs/>
          <w:color w:val="EE0000"/>
          <w:sz w:val="22"/>
          <w:szCs w:val="22"/>
          <w:lang w:val="uk-UA" w:eastAsia="uk-UA"/>
        </w:rPr>
        <w:t xml:space="preserve">  </w:t>
      </w:r>
      <w:r w:rsidR="00BC0CE4">
        <w:rPr>
          <w:b/>
          <w:bCs/>
          <w:color w:val="000000" w:themeColor="text1"/>
          <w:sz w:val="22"/>
          <w:szCs w:val="22"/>
          <w:lang w:val="uk-UA" w:eastAsia="uk-UA"/>
        </w:rPr>
        <w:t>11</w:t>
      </w:r>
      <w:r w:rsidR="00BC0CE4" w:rsidRPr="00C0618A">
        <w:rPr>
          <w:b/>
          <w:bCs/>
          <w:color w:val="000000" w:themeColor="text1"/>
          <w:sz w:val="22"/>
          <w:szCs w:val="22"/>
          <w:lang w:val="uk-UA" w:eastAsia="uk-UA"/>
        </w:rPr>
        <w:t>.11.2025 року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 xml:space="preserve"> до 18:00</w:t>
      </w:r>
      <w:r w:rsidRPr="00C0618A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C0618A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09C5C541" w:rsidR="003F16E7" w:rsidRPr="00690D58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C0618A">
        <w:rPr>
          <w:sz w:val="22"/>
          <w:szCs w:val="22"/>
          <w:lang w:val="uk-UA"/>
        </w:rPr>
        <w:t xml:space="preserve">Учасники, </w:t>
      </w:r>
      <w:r w:rsidR="000C75F4" w:rsidRPr="00C0618A">
        <w:rPr>
          <w:sz w:val="22"/>
          <w:szCs w:val="22"/>
          <w:lang w:val="uk-UA"/>
        </w:rPr>
        <w:t>які</w:t>
      </w:r>
      <w:r w:rsidRPr="00C0618A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C0618A">
        <w:rPr>
          <w:sz w:val="22"/>
          <w:szCs w:val="22"/>
          <w:lang w:val="uk-UA"/>
        </w:rPr>
        <w:t>в</w:t>
      </w:r>
      <w:r w:rsidRPr="00C0618A">
        <w:rPr>
          <w:sz w:val="22"/>
          <w:szCs w:val="22"/>
          <w:lang w:val="uk-UA"/>
        </w:rPr>
        <w:t xml:space="preserve"> конкурсі, в обов’язковому порядку </w:t>
      </w:r>
      <w:r w:rsidRPr="00C0618A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C0618A">
        <w:rPr>
          <w:sz w:val="22"/>
          <w:szCs w:val="22"/>
          <w:lang w:val="uk-UA"/>
        </w:rPr>
        <w:t xml:space="preserve"> Наприклад: </w:t>
      </w:r>
      <w:r w:rsidRPr="00C0618A">
        <w:rPr>
          <w:b/>
          <w:bCs/>
          <w:sz w:val="22"/>
          <w:szCs w:val="22"/>
          <w:lang w:val="uk-UA"/>
        </w:rPr>
        <w:t>«</w:t>
      </w:r>
      <w:r w:rsidR="008E179E" w:rsidRPr="00C0618A">
        <w:rPr>
          <w:b/>
          <w:bCs/>
          <w:sz w:val="22"/>
          <w:szCs w:val="22"/>
          <w:lang w:val="uk-UA"/>
        </w:rPr>
        <w:t>№</w:t>
      </w:r>
      <w:r w:rsidR="00C0618A" w:rsidRPr="00C0618A">
        <w:rPr>
          <w:b/>
          <w:bCs/>
          <w:sz w:val="22"/>
          <w:szCs w:val="22"/>
          <w:lang w:val="uk-UA"/>
        </w:rPr>
        <w:t>2404</w:t>
      </w:r>
      <w:r w:rsidR="000F3E4F" w:rsidRPr="00C0618A">
        <w:rPr>
          <w:b/>
          <w:bCs/>
          <w:sz w:val="22"/>
          <w:szCs w:val="22"/>
          <w:lang w:val="uk-UA"/>
        </w:rPr>
        <w:t>ОК</w:t>
      </w:r>
      <w:r w:rsidR="000F3E4F" w:rsidRPr="00F363BC">
        <w:rPr>
          <w:b/>
          <w:bCs/>
          <w:sz w:val="22"/>
          <w:szCs w:val="22"/>
          <w:lang w:val="uk-UA"/>
        </w:rPr>
        <w:t>_ Послуга з нанесення розмітки</w:t>
      </w:r>
      <w:r w:rsidR="00F363BC" w:rsidRPr="00F363BC">
        <w:rPr>
          <w:b/>
          <w:bCs/>
          <w:sz w:val="22"/>
          <w:szCs w:val="22"/>
          <w:lang w:val="uk-UA"/>
        </w:rPr>
        <w:t>»</w:t>
      </w:r>
      <w:r w:rsidRPr="00F363BC">
        <w:rPr>
          <w:b/>
          <w:bCs/>
          <w:sz w:val="22"/>
          <w:szCs w:val="22"/>
          <w:lang w:val="uk-UA"/>
        </w:rPr>
        <w:t>.</w:t>
      </w:r>
    </w:p>
    <w:p w14:paraId="5811D234" w14:textId="77777777" w:rsidR="003F16E7" w:rsidRPr="00690D5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690D58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="00827475" w:rsidRPr="00690D58">
        <w:rPr>
          <w:b/>
          <w:sz w:val="22"/>
          <w:szCs w:val="22"/>
          <w:lang w:val="uk-UA"/>
        </w:rPr>
        <w:t xml:space="preserve"> </w:t>
      </w:r>
      <w:r w:rsidRPr="00690D58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Pr="00690D58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</w:t>
      </w:r>
      <w:r w:rsidRPr="00EB419B">
        <w:rPr>
          <w:b/>
          <w:sz w:val="22"/>
          <w:szCs w:val="22"/>
          <w:lang w:val="uk-UA"/>
        </w:rPr>
        <w:t xml:space="preserve">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7DF89802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</w:t>
      </w:r>
      <w:r w:rsidR="003829B1" w:rsidRPr="003829B1">
        <w:rPr>
          <w:sz w:val="22"/>
          <w:szCs w:val="22"/>
          <w:lang w:val="uk-UA"/>
        </w:rPr>
        <w:lastRenderedPageBreak/>
        <w:t>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Pr="00F363BC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Санкційних списків Бюро промисловості та безпеки (BIS) Міністерства </w:t>
      </w:r>
      <w:r w:rsidRPr="00F363BC">
        <w:rPr>
          <w:sz w:val="22"/>
          <w:szCs w:val="22"/>
          <w:lang w:val="uk-UA"/>
        </w:rPr>
        <w:t>торгівлі США.</w:t>
      </w:r>
    </w:p>
    <w:p w14:paraId="49733FE5" w14:textId="3FB883F2" w:rsidR="00196AEF" w:rsidRPr="00F363BC" w:rsidRDefault="00196AEF" w:rsidP="00D65166">
      <w:pPr>
        <w:ind w:firstLine="357"/>
        <w:jc w:val="both"/>
        <w:rPr>
          <w:lang w:val="uk-UA"/>
        </w:rPr>
      </w:pPr>
      <w:r w:rsidRPr="00F363BC">
        <w:rPr>
          <w:sz w:val="22"/>
          <w:szCs w:val="22"/>
          <w:lang w:val="uk-UA"/>
        </w:rPr>
        <w:t>6.7.</w:t>
      </w:r>
      <w:r w:rsidR="006A37BC" w:rsidRPr="00F363BC">
        <w:rPr>
          <w:sz w:val="22"/>
          <w:szCs w:val="22"/>
          <w:lang w:val="uk-UA"/>
        </w:rPr>
        <w:t xml:space="preserve"> </w:t>
      </w:r>
      <w:r w:rsidR="00B34A3E" w:rsidRPr="00F363BC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F363BC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F363BC">
          <w:rPr>
            <w:rStyle w:val="ac"/>
            <w:lang w:val="uk-UA"/>
          </w:rPr>
          <w:t>https://redcross.org.ua</w:t>
        </w:r>
      </w:hyperlink>
      <w:r w:rsidR="00B34A3E" w:rsidRPr="00F363BC">
        <w:rPr>
          <w:lang w:val="uk-UA"/>
        </w:rPr>
        <w:t>.</w:t>
      </w:r>
      <w:r w:rsidR="00A8066F" w:rsidRPr="00F363BC">
        <w:rPr>
          <w:lang w:val="uk-UA"/>
        </w:rPr>
        <w:t xml:space="preserve"> </w:t>
      </w:r>
      <w:r w:rsidR="00B34A3E" w:rsidRPr="00F363BC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F363BC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F363BC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F363BC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F363BC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2023CDFF" w:rsidR="00142094" w:rsidRPr="00F363BC" w:rsidRDefault="002A13C5" w:rsidP="00F363B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 w:rsidRPr="00F363BC">
        <w:rPr>
          <w:rStyle w:val="hps"/>
          <w:sz w:val="22"/>
          <w:szCs w:val="22"/>
          <w:lang w:val="uk-UA"/>
        </w:rPr>
        <w:t>цінових</w:t>
      </w:r>
      <w:r w:rsidRPr="00F363BC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 w:rsidRPr="00F363BC">
        <w:rPr>
          <w:rStyle w:val="hps"/>
          <w:sz w:val="22"/>
          <w:szCs w:val="22"/>
          <w:lang w:val="uk-UA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F363BC">
        <w:rPr>
          <w:rStyle w:val="normaltextrun"/>
          <w:color w:val="000000"/>
          <w:shd w:val="clear" w:color="auto" w:fill="FFFFFF"/>
          <w:lang w:val="uk-UA"/>
        </w:rPr>
        <w:t> </w:t>
      </w:r>
      <w:r w:rsidR="00767E16" w:rsidRPr="00F363BC">
        <w:rPr>
          <w:rStyle w:val="eop"/>
          <w:color w:val="000000"/>
          <w:shd w:val="clear" w:color="auto" w:fill="FFFFFF"/>
          <w:lang w:val="uk-UA"/>
        </w:rPr>
        <w:t> </w:t>
      </w:r>
      <w:r w:rsidR="00F363BC" w:rsidRPr="00F363BC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bCs/>
          <w:spacing w:val="-4"/>
          <w:sz w:val="22"/>
          <w:szCs w:val="22"/>
          <w:lang w:val="uk-UA"/>
        </w:rPr>
        <w:t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</w:t>
      </w:r>
      <w:r w:rsidRPr="00AE1EF2">
        <w:rPr>
          <w:bCs/>
          <w:spacing w:val="-4"/>
          <w:sz w:val="22"/>
          <w:szCs w:val="22"/>
          <w:lang w:val="uk-UA"/>
        </w:rPr>
        <w:t xml:space="preserve">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Pr="007B7E59" w:rsidRDefault="002A13C5" w:rsidP="002A13C5">
      <w:pPr>
        <w:spacing w:after="160"/>
        <w:ind w:firstLine="567"/>
        <w:jc w:val="both"/>
        <w:rPr>
          <w:spacing w:val="-4"/>
          <w:sz w:val="20"/>
          <w:szCs w:val="20"/>
          <w:lang w:val="uk-UA"/>
        </w:rPr>
      </w:pPr>
      <w:r w:rsidRPr="007B7E59">
        <w:rPr>
          <w:i/>
          <w:iCs/>
          <w:sz w:val="20"/>
          <w:szCs w:val="20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 w:rsidRPr="007B7E59">
        <w:rPr>
          <w:i/>
          <w:iCs/>
          <w:sz w:val="20"/>
          <w:szCs w:val="20"/>
          <w:lang w:val="uk-UA" w:eastAsia="uk-UA"/>
        </w:rPr>
        <w:t>их</w:t>
      </w:r>
      <w:r w:rsidRPr="007B7E59">
        <w:rPr>
          <w:i/>
          <w:iCs/>
          <w:sz w:val="20"/>
          <w:szCs w:val="20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 w:rsidRPr="007B7E59">
        <w:rPr>
          <w:i/>
          <w:iCs/>
          <w:sz w:val="20"/>
          <w:szCs w:val="20"/>
          <w:lang w:val="uk-UA" w:eastAsia="uk-UA"/>
        </w:rPr>
        <w:t>цінових</w:t>
      </w:r>
      <w:r w:rsidRPr="007B7E59">
        <w:rPr>
          <w:i/>
          <w:iCs/>
          <w:sz w:val="20"/>
          <w:szCs w:val="20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02359BC9" w14:textId="77777777" w:rsidR="007B7E59" w:rsidRDefault="007B7E59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9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09EAA27A" w14:textId="76BCDFF9" w:rsidR="00DB120B" w:rsidRPr="00E64BD5" w:rsidRDefault="00992F46" w:rsidP="009701EC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DB120B" w:rsidRPr="00E64BD5">
        <w:rPr>
          <w:b/>
          <w:bCs/>
          <w:color w:val="000000"/>
          <w:sz w:val="22"/>
          <w:szCs w:val="22"/>
          <w:lang w:val="uk-UA" w:eastAsia="uk-UA"/>
        </w:rPr>
        <w:lastRenderedPageBreak/>
        <w:t>Додаток №</w:t>
      </w:r>
      <w:r w:rsidR="009701EC" w:rsidRPr="00E64BD5">
        <w:rPr>
          <w:b/>
          <w:bCs/>
          <w:color w:val="000000"/>
          <w:sz w:val="22"/>
          <w:szCs w:val="22"/>
          <w:lang w:val="uk-UA" w:eastAsia="uk-UA"/>
        </w:rPr>
        <w:t>1</w:t>
      </w:r>
      <w:r w:rsidR="00DB120B" w:rsidRPr="00E64BD5">
        <w:rPr>
          <w:b/>
          <w:bCs/>
          <w:color w:val="000000"/>
          <w:sz w:val="22"/>
          <w:szCs w:val="22"/>
          <w:lang w:val="uk-UA" w:eastAsia="uk-UA"/>
        </w:rPr>
        <w:t> </w:t>
      </w:r>
    </w:p>
    <w:p w14:paraId="0967DDD1" w14:textId="57D41068" w:rsidR="00DB120B" w:rsidRDefault="00DB120B" w:rsidP="00DB120B">
      <w:pPr>
        <w:ind w:left="142" w:firstLine="284"/>
        <w:jc w:val="right"/>
        <w:rPr>
          <w:sz w:val="22"/>
          <w:szCs w:val="22"/>
          <w:lang w:val="uk-UA" w:eastAsia="uk-UA"/>
        </w:rPr>
      </w:pPr>
      <w:r w:rsidRPr="00E64BD5">
        <w:rPr>
          <w:b/>
          <w:bCs/>
          <w:sz w:val="22"/>
          <w:szCs w:val="22"/>
          <w:lang w:val="uk-UA"/>
        </w:rPr>
        <w:t xml:space="preserve">до Запиту </w:t>
      </w:r>
      <w:r w:rsidR="00E64BD5" w:rsidRPr="00E64BD5">
        <w:rPr>
          <w:b/>
          <w:bCs/>
          <w:sz w:val="22"/>
          <w:szCs w:val="22"/>
          <w:lang w:val="uk-UA"/>
        </w:rPr>
        <w:t>2404</w:t>
      </w:r>
      <w:r w:rsidRPr="00E64BD5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70B556F1" w14:textId="77777777" w:rsidR="00DB120B" w:rsidRDefault="00DB120B" w:rsidP="00DB120B">
      <w:pPr>
        <w:ind w:left="540" w:firstLine="420"/>
        <w:textAlignment w:val="baseline"/>
        <w:rPr>
          <w:sz w:val="22"/>
          <w:szCs w:val="22"/>
          <w:lang w:val="uk-UA" w:eastAsia="uk-UA"/>
        </w:rPr>
      </w:pP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</w:p>
    <w:p w14:paraId="77D54858" w14:textId="77777777" w:rsidR="00DB120B" w:rsidRPr="00C76EDE" w:rsidRDefault="00DB120B" w:rsidP="00DB120B">
      <w:pPr>
        <w:ind w:left="540" w:firstLine="420"/>
        <w:jc w:val="center"/>
        <w:textAlignment w:val="baseline"/>
        <w:rPr>
          <w:b/>
          <w:bCs/>
          <w:lang w:val="uk-UA" w:eastAsia="uk-UA"/>
        </w:rPr>
      </w:pPr>
      <w:r w:rsidRPr="00C76EDE">
        <w:rPr>
          <w:b/>
          <w:bCs/>
          <w:lang w:val="uk-UA" w:eastAsia="uk-UA"/>
        </w:rPr>
        <w:t>ТЕХНІЧНЕ ЗАВДАННЯ</w:t>
      </w:r>
    </w:p>
    <w:p w14:paraId="4C454E48" w14:textId="77777777" w:rsidR="00DB120B" w:rsidRDefault="00DB120B" w:rsidP="00DB120B">
      <w:pPr>
        <w:textAlignment w:val="baseline"/>
        <w:rPr>
          <w:sz w:val="22"/>
          <w:szCs w:val="22"/>
          <w:lang w:val="uk-UA" w:eastAsia="uk-UA"/>
        </w:rPr>
      </w:pPr>
    </w:p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10206"/>
      </w:tblGrid>
      <w:tr w:rsidR="00EC266A" w:rsidRPr="009701EC" w14:paraId="326AB465" w14:textId="77777777" w:rsidTr="00EC266A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4DE056B1" w14:textId="6A21F726" w:rsidR="00EC266A" w:rsidRPr="00EC266A" w:rsidRDefault="00EC266A" w:rsidP="00986F0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uk-UA"/>
              </w:rPr>
            </w:pPr>
            <w:r w:rsidRPr="003B1FD1">
              <w:rPr>
                <w:b/>
                <w:bCs/>
                <w:color w:val="000000"/>
                <w:sz w:val="22"/>
                <w:szCs w:val="22"/>
                <w:lang w:val="uk-UA"/>
              </w:rPr>
              <w:t>Технічні характеристики та опис</w:t>
            </w:r>
            <w:r w:rsidR="00575F16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EC266A" w:rsidRPr="009701EC" w14:paraId="21DD8447" w14:textId="77777777" w:rsidTr="00EC266A">
        <w:trPr>
          <w:trHeight w:val="30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048C9FDD" w14:textId="4B5D9F44" w:rsidR="00EC266A" w:rsidRPr="00EC266A" w:rsidRDefault="00EC266A" w:rsidP="00EC266A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b/>
                <w:bCs/>
                <w:color w:val="000000"/>
                <w:sz w:val="22"/>
                <w:szCs w:val="22"/>
                <w:lang w:val="uk-UA"/>
              </w:rPr>
              <w:t>ЛОТ 1.  Розмітка підлоги складських приміщень в м. Ходорів (Львівська обл.)</w:t>
            </w:r>
          </w:p>
        </w:tc>
      </w:tr>
      <w:tr w:rsidR="00EC266A" w:rsidRPr="009701EC" w14:paraId="1619C2AF" w14:textId="77777777" w:rsidTr="00EC266A">
        <w:trPr>
          <w:trHeight w:val="9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CC9" w14:textId="1EF1ED1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І.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Розробка схеми розмітки підлоги</w:t>
            </w: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у м. Ходорів площа яких становить - 1478,0 м2;</w:t>
            </w:r>
          </w:p>
          <w:p w14:paraId="36837A85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Надання план-схеми замовнику в електронному та надрукованому вигляді формату А2 (пластик/метал) з позначенням на них:</w:t>
            </w:r>
          </w:p>
          <w:p w14:paraId="6D001DD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межі зон зберігання;</w:t>
            </w:r>
          </w:p>
          <w:p w14:paraId="38851BDE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пішохідні зони;</w:t>
            </w:r>
          </w:p>
          <w:p w14:paraId="658AE2FF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руху транспорту;</w:t>
            </w:r>
          </w:p>
          <w:p w14:paraId="1C333831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напрямок руху;</w:t>
            </w:r>
          </w:p>
          <w:p w14:paraId="73FF6453" w14:textId="5DB2D149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завантаження/розвантаження;</w:t>
            </w:r>
          </w:p>
          <w:p w14:paraId="27B8AAA8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небезпеки / заборонені зони;</w:t>
            </w:r>
          </w:p>
          <w:p w14:paraId="7277B516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пожежні виходи та обладнання;</w:t>
            </w:r>
          </w:p>
          <w:p w14:paraId="756B06D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місця для відходів / утилізації;</w:t>
            </w:r>
          </w:p>
          <w:p w14:paraId="79037E86" w14:textId="25F1B3FB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та інші за потреби.</w:t>
            </w:r>
          </w:p>
        </w:tc>
      </w:tr>
      <w:tr w:rsidR="00EC266A" w:rsidRPr="009701EC" w14:paraId="2DFDD0FB" w14:textId="77777777" w:rsidTr="00EC266A">
        <w:trPr>
          <w:trHeight w:val="91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928" w14:textId="5D5177BB" w:rsidR="00EC266A" w:rsidRPr="00EC266A" w:rsidRDefault="00FB0085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ІІ.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EC266A"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Нанесення розмітки підлоги</w:t>
            </w:r>
            <w:r w:rsidR="00EC266A"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відповідно до схеми:</w:t>
            </w:r>
          </w:p>
          <w:p w14:paraId="265716BD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ширина ліній 100мм;</w:t>
            </w:r>
          </w:p>
          <w:p w14:paraId="76101704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колір RAL 1023 9016 5015 3001 9005;</w:t>
            </w:r>
          </w:p>
          <w:p w14:paraId="562B2380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- фарба поліуретанова або епоксидна з високою зносостійкістю (при необхідності допускається використання </w:t>
            </w:r>
            <w:proofErr w:type="spellStart"/>
            <w:r w:rsidRPr="00EC266A">
              <w:rPr>
                <w:color w:val="000000"/>
                <w:sz w:val="22"/>
                <w:szCs w:val="22"/>
                <w:lang w:val="uk-UA"/>
              </w:rPr>
              <w:t>антиковзкого</w:t>
            </w:r>
            <w:proofErr w:type="spellEnd"/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лаку зверху).</w:t>
            </w:r>
          </w:p>
          <w:p w14:paraId="411A6E14" w14:textId="0842E861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Орієнтовна площа нанесення розмітки – близько 1200 м. Точні обсяги робіт будуть визначені після розроблення схеми розмітки. </w:t>
            </w:r>
          </w:p>
        </w:tc>
      </w:tr>
      <w:tr w:rsidR="00EC266A" w:rsidRPr="009701EC" w14:paraId="2410034F" w14:textId="77777777" w:rsidTr="00EC266A">
        <w:trPr>
          <w:trHeight w:val="50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5BECECB" w14:textId="10BF6A2C" w:rsidR="00EC266A" w:rsidRPr="00EC266A" w:rsidRDefault="00EC266A" w:rsidP="00EC266A">
            <w:pPr>
              <w:jc w:val="center"/>
              <w:rPr>
                <w:sz w:val="22"/>
                <w:szCs w:val="22"/>
                <w:lang w:val="uk-UA"/>
              </w:rPr>
            </w:pPr>
            <w:r w:rsidRPr="00EC266A">
              <w:rPr>
                <w:b/>
                <w:bCs/>
                <w:color w:val="000000"/>
                <w:sz w:val="22"/>
                <w:szCs w:val="22"/>
                <w:lang w:val="uk-UA"/>
              </w:rPr>
              <w:t>ЛОТ 2</w:t>
            </w:r>
            <w:r w:rsidRPr="00EC266A">
              <w:rPr>
                <w:b/>
                <w:bCs/>
                <w:color w:val="000000"/>
                <w:sz w:val="22"/>
                <w:szCs w:val="22"/>
                <w:shd w:val="clear" w:color="auto" w:fill="D1D1D1" w:themeFill="background2" w:themeFillShade="E6"/>
                <w:lang w:val="uk-UA"/>
              </w:rPr>
              <w:t>.  Розмітка підлоги складських приміщень в м. Чоп (Закарпатська обл.)</w:t>
            </w:r>
          </w:p>
        </w:tc>
      </w:tr>
      <w:tr w:rsidR="00EC266A" w:rsidRPr="009701EC" w14:paraId="31C19C08" w14:textId="77777777" w:rsidTr="00EC266A">
        <w:trPr>
          <w:trHeight w:val="8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BC38" w14:textId="7E71C1A5" w:rsidR="00EC266A" w:rsidRPr="00EC266A" w:rsidRDefault="003057FE" w:rsidP="00EC266A">
            <w:pPr>
              <w:rPr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sz w:val="22"/>
                <w:szCs w:val="22"/>
                <w:lang w:val="uk-UA"/>
              </w:rPr>
              <w:t>І.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EC266A" w:rsidRPr="003057FE">
              <w:rPr>
                <w:b/>
                <w:bCs/>
                <w:sz w:val="22"/>
                <w:szCs w:val="22"/>
                <w:lang w:val="uk-UA"/>
              </w:rPr>
              <w:t>Розробка схеми розмітки підлоги</w:t>
            </w:r>
            <w:r w:rsidR="00EC266A" w:rsidRPr="00EC266A">
              <w:rPr>
                <w:sz w:val="22"/>
                <w:szCs w:val="22"/>
                <w:lang w:val="uk-UA"/>
              </w:rPr>
              <w:t xml:space="preserve"> складських приміщень у м. Чоп площа яких становить - 861,0 м2. </w:t>
            </w:r>
          </w:p>
          <w:p w14:paraId="67226A69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Надання план-схеми замовнику в електронному та надрукованому вигляді формату А2 (пластик/метал) з позначенням на них:</w:t>
            </w:r>
          </w:p>
          <w:p w14:paraId="2E593595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межі зон зберігання;</w:t>
            </w:r>
          </w:p>
          <w:p w14:paraId="2F695D23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пішохідні зони;</w:t>
            </w:r>
          </w:p>
          <w:p w14:paraId="7826D08B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руху транспорту;</w:t>
            </w:r>
          </w:p>
          <w:p w14:paraId="041B539E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напрямок руху;</w:t>
            </w:r>
          </w:p>
          <w:p w14:paraId="27639643" w14:textId="62EF9BB6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завантаження/розвантаження;</w:t>
            </w:r>
          </w:p>
          <w:p w14:paraId="32885538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небезпеки / заборонені зони;</w:t>
            </w:r>
          </w:p>
          <w:p w14:paraId="333A06C2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пожежні виходи та обладнання;</w:t>
            </w:r>
          </w:p>
          <w:p w14:paraId="542209E8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місця для відходів / утилізації;</w:t>
            </w:r>
          </w:p>
          <w:p w14:paraId="6BAB9D62" w14:textId="38E2E36C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та інші за потреби.</w:t>
            </w:r>
          </w:p>
        </w:tc>
      </w:tr>
      <w:tr w:rsidR="00EC266A" w:rsidRPr="009701EC" w14:paraId="3396C0A7" w14:textId="77777777" w:rsidTr="00EC266A">
        <w:trPr>
          <w:trHeight w:val="87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9505" w14:textId="7707A45F" w:rsidR="00EC266A" w:rsidRPr="00EC266A" w:rsidRDefault="003057FE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ІІ. </w:t>
            </w:r>
            <w:r w:rsidR="00EC266A"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Нанесення розмітки підлоги</w:t>
            </w:r>
            <w:r w:rsidR="00EC266A"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відповідно до схеми:</w:t>
            </w:r>
          </w:p>
          <w:p w14:paraId="175DB0C5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ширина ліній 100мм;</w:t>
            </w:r>
          </w:p>
          <w:p w14:paraId="005321C7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колір RAL 1023 9016 5015 3001 9005;</w:t>
            </w:r>
          </w:p>
          <w:p w14:paraId="2E0C9C2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- фарба поліуретанова або епоксидна з високою зносостійкістю (при необхідності допускається використання </w:t>
            </w:r>
            <w:proofErr w:type="spellStart"/>
            <w:r w:rsidRPr="00EC266A">
              <w:rPr>
                <w:color w:val="000000"/>
                <w:sz w:val="22"/>
                <w:szCs w:val="22"/>
                <w:lang w:val="uk-UA"/>
              </w:rPr>
              <w:t>антиковзкого</w:t>
            </w:r>
            <w:proofErr w:type="spellEnd"/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лаку зверху).</w:t>
            </w:r>
          </w:p>
          <w:p w14:paraId="753955A0" w14:textId="224538B0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Орієнтовна площа нанесення розмітки – близько 800 м. Точні обсяги робіт будуть визначені після розроблення схеми розмітки.</w:t>
            </w:r>
          </w:p>
        </w:tc>
      </w:tr>
      <w:tr w:rsidR="00EC266A" w:rsidRPr="009701EC" w14:paraId="73AA3D6B" w14:textId="77777777" w:rsidTr="00EC266A">
        <w:trPr>
          <w:trHeight w:val="28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860C" w14:textId="77777777" w:rsidR="00EC266A" w:rsidRPr="009701EC" w:rsidRDefault="00EC266A" w:rsidP="00EC266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EC266A" w:rsidRPr="009701EC" w14:paraId="00662057" w14:textId="77777777" w:rsidTr="00EC266A">
        <w:trPr>
          <w:trHeight w:val="28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CEF4" w14:textId="77777777" w:rsidR="00EC266A" w:rsidRPr="009701EC" w:rsidRDefault="00EC266A" w:rsidP="00EC266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68F357D6" w14:textId="6BB6454B" w:rsidR="00DB120B" w:rsidRPr="002E5B38" w:rsidRDefault="00885F6D" w:rsidP="00DB120B">
      <w:pP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</w:pPr>
      <w:r w:rsidRPr="002E5B38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 xml:space="preserve">УМОВИ </w:t>
      </w: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>НАДАННЯ ЦІНОВОЇ ПРОПОЗИЦІЇ</w:t>
      </w:r>
    </w:p>
    <w:p w14:paraId="4AEB7380" w14:textId="4074615B" w:rsidR="00352934" w:rsidRPr="00352934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 xml:space="preserve">Вважається, що Підрядник повністю розуміє обсяг робіт та гарантує, що всі необхідні основні, супутні та допоміжні роботи та матеріали включені до </w:t>
      </w:r>
      <w:r w:rsidR="00EC266A" w:rsidRPr="00885F6D">
        <w:rPr>
          <w:color w:val="000000" w:themeColor="text1"/>
          <w:sz w:val="22"/>
          <w:szCs w:val="22"/>
          <w:lang w:val="uk-UA"/>
        </w:rPr>
        <w:t>цінової</w:t>
      </w:r>
      <w:r w:rsidRPr="00352934">
        <w:rPr>
          <w:color w:val="000000" w:themeColor="text1"/>
          <w:sz w:val="22"/>
          <w:szCs w:val="22"/>
          <w:lang w:val="uk-UA"/>
        </w:rPr>
        <w:t xml:space="preserve"> пропозиції. Якщо Підрядник розуміє, що є роботи, які не включені до основного переліку і не можуть бути враховані одиничними розцінками, але необхідні для завершення повного комплексу робіт по поточному лоту, він повинен врахувати ці витрати у власній пропозиції.</w:t>
      </w:r>
    </w:p>
    <w:p w14:paraId="45BAC779" w14:textId="424D5215" w:rsidR="00352934" w:rsidRPr="00885F6D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>Матеріали для виконання даного переліку</w:t>
      </w:r>
      <w:r w:rsidR="00700831" w:rsidRPr="00885F6D">
        <w:rPr>
          <w:color w:val="000000" w:themeColor="text1"/>
          <w:sz w:val="22"/>
          <w:szCs w:val="22"/>
          <w:lang w:val="uk-UA"/>
        </w:rPr>
        <w:t xml:space="preserve"> робіт</w:t>
      </w:r>
      <w:r w:rsidRPr="00352934">
        <w:rPr>
          <w:color w:val="000000" w:themeColor="text1"/>
          <w:sz w:val="22"/>
          <w:szCs w:val="22"/>
          <w:lang w:val="uk-UA"/>
        </w:rPr>
        <w:t xml:space="preserve"> забезпечує </w:t>
      </w:r>
      <w:r w:rsidR="009C480D" w:rsidRPr="00885F6D">
        <w:rPr>
          <w:color w:val="000000" w:themeColor="text1"/>
          <w:sz w:val="22"/>
          <w:szCs w:val="22"/>
          <w:lang w:val="uk-UA"/>
        </w:rPr>
        <w:t>П</w:t>
      </w:r>
      <w:r w:rsidRPr="00352934">
        <w:rPr>
          <w:color w:val="000000" w:themeColor="text1"/>
          <w:sz w:val="22"/>
          <w:szCs w:val="22"/>
          <w:lang w:val="uk-UA"/>
        </w:rPr>
        <w:t>ідрядник.</w:t>
      </w:r>
    </w:p>
    <w:p w14:paraId="5ED7CC73" w14:textId="4D217836" w:rsidR="00E53ECF" w:rsidRPr="00885F6D" w:rsidRDefault="00E53ECF" w:rsidP="00575F16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rPr>
          <w:color w:val="000000" w:themeColor="text1"/>
          <w:sz w:val="22"/>
          <w:szCs w:val="22"/>
          <w:lang w:val="uk-UA"/>
        </w:rPr>
      </w:pPr>
      <w:r w:rsidRPr="00885F6D">
        <w:rPr>
          <w:color w:val="000000"/>
          <w:sz w:val="22"/>
          <w:szCs w:val="22"/>
          <w:lang w:val="uk-UA"/>
        </w:rPr>
        <w:lastRenderedPageBreak/>
        <w:t xml:space="preserve">В даному технічному завданні зазначено </w:t>
      </w:r>
      <w:r w:rsidRPr="00885F6D">
        <w:rPr>
          <w:b/>
          <w:bCs/>
          <w:color w:val="000000"/>
          <w:sz w:val="22"/>
          <w:szCs w:val="22"/>
          <w:lang w:val="uk-UA"/>
        </w:rPr>
        <w:t>орієнтовну площу нанесення розмітки</w:t>
      </w:r>
      <w:r w:rsidRPr="00885F6D">
        <w:rPr>
          <w:color w:val="000000"/>
          <w:sz w:val="22"/>
          <w:szCs w:val="22"/>
          <w:lang w:val="uk-UA"/>
        </w:rPr>
        <w:t>. Остаточні обсяги робіт буде визначено після розроблення схеми розмітки.</w:t>
      </w:r>
      <w:r w:rsidR="00575F16">
        <w:rPr>
          <w:color w:val="000000"/>
          <w:sz w:val="22"/>
          <w:szCs w:val="22"/>
          <w:lang w:val="uk-UA"/>
        </w:rPr>
        <w:t xml:space="preserve"> </w:t>
      </w:r>
      <w:r w:rsidRPr="00885F6D">
        <w:rPr>
          <w:b/>
          <w:bCs/>
          <w:color w:val="000000"/>
          <w:sz w:val="22"/>
          <w:szCs w:val="22"/>
          <w:lang w:val="uk-UA"/>
        </w:rPr>
        <w:t>Вартість цінової пропозиції не підлягає зміні</w:t>
      </w:r>
      <w:r w:rsidRPr="00885F6D">
        <w:rPr>
          <w:color w:val="000000"/>
          <w:sz w:val="22"/>
          <w:szCs w:val="22"/>
          <w:lang w:val="uk-UA"/>
        </w:rPr>
        <w:t xml:space="preserve"> у разі, якщо фактична площа нанесення відрізнятиметься від орієнтовної.</w:t>
      </w:r>
    </w:p>
    <w:p w14:paraId="29833BDC" w14:textId="73882FE2" w:rsidR="00352934" w:rsidRPr="00352934" w:rsidRDefault="002E5B38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885F6D">
        <w:rPr>
          <w:color w:val="000000" w:themeColor="text1"/>
          <w:sz w:val="22"/>
          <w:szCs w:val="22"/>
          <w:lang w:val="uk-UA"/>
        </w:rPr>
        <w:t>Ц</w:t>
      </w:r>
      <w:r w:rsidR="00352934" w:rsidRPr="00352934">
        <w:rPr>
          <w:color w:val="000000" w:themeColor="text1"/>
          <w:sz w:val="22"/>
          <w:szCs w:val="22"/>
          <w:lang w:val="uk-UA"/>
        </w:rPr>
        <w:t xml:space="preserve">іна пропозиції враховує усі податки, мита, інше у відповідності до законодавства України. </w:t>
      </w:r>
    </w:p>
    <w:p w14:paraId="2A9C24AA" w14:textId="0172B3AB" w:rsidR="00352934" w:rsidRPr="00885F6D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>У випадку змін в митному законодавстві, вартість робіт не змінюється.</w:t>
      </w:r>
    </w:p>
    <w:p w14:paraId="43375B02" w14:textId="5633E425" w:rsidR="00352934" w:rsidRPr="00352934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 xml:space="preserve">Ціна пропозиції враховує інші необхідні витрати включаючи, але не обмежуючись, усі, адміністративні, </w:t>
      </w:r>
      <w:r w:rsidR="00E53ECF" w:rsidRPr="00885F6D">
        <w:rPr>
          <w:color w:val="000000" w:themeColor="text1"/>
          <w:sz w:val="22"/>
          <w:szCs w:val="22"/>
          <w:lang w:val="uk-UA"/>
        </w:rPr>
        <w:t>транспортні</w:t>
      </w:r>
      <w:r w:rsidR="00885F6D" w:rsidRPr="00885F6D">
        <w:rPr>
          <w:color w:val="000000" w:themeColor="text1"/>
          <w:sz w:val="22"/>
          <w:szCs w:val="22"/>
          <w:lang w:val="uk-UA"/>
        </w:rPr>
        <w:t xml:space="preserve"> та </w:t>
      </w:r>
      <w:r w:rsidRPr="00352934">
        <w:rPr>
          <w:color w:val="000000" w:themeColor="text1"/>
          <w:sz w:val="22"/>
          <w:szCs w:val="22"/>
          <w:lang w:val="uk-UA"/>
        </w:rPr>
        <w:t>інші подібні витрати</w:t>
      </w:r>
      <w:r w:rsidR="00885F6D" w:rsidRPr="00885F6D">
        <w:rPr>
          <w:color w:val="000000" w:themeColor="text1"/>
          <w:sz w:val="22"/>
          <w:szCs w:val="22"/>
          <w:lang w:val="uk-UA"/>
        </w:rPr>
        <w:t xml:space="preserve"> Підрядника, які виникають в процесі надання послуг/виконання робіт</w:t>
      </w:r>
      <w:r w:rsidRPr="00352934">
        <w:rPr>
          <w:color w:val="000000" w:themeColor="text1"/>
          <w:sz w:val="22"/>
          <w:szCs w:val="22"/>
          <w:lang w:val="uk-UA"/>
        </w:rPr>
        <w:t>.</w:t>
      </w:r>
    </w:p>
    <w:p w14:paraId="059068EE" w14:textId="77777777" w:rsidR="00DB120B" w:rsidRDefault="00DB120B" w:rsidP="00DB120B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10162B56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3D89308C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3184E70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668607E3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3EE96A34" w14:textId="77777777" w:rsidR="00DB120B" w:rsidRPr="005F2188" w:rsidRDefault="00DB120B" w:rsidP="00DB120B">
      <w:pPr>
        <w:ind w:firstLine="567"/>
        <w:rPr>
          <w:color w:val="000000" w:themeColor="text1"/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5F2188">
        <w:rPr>
          <w:lang w:val="uk-UA"/>
        </w:rPr>
        <w:tab/>
      </w:r>
      <w:r w:rsidRPr="005F2188">
        <w:rPr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1B9C2575" w14:textId="77777777" w:rsidR="00DB120B" w:rsidRPr="005F2188" w:rsidRDefault="00DB120B" w:rsidP="00DB120B">
      <w:pPr>
        <w:ind w:firstLine="567"/>
        <w:rPr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5F2188">
        <w:rPr>
          <w:sz w:val="22"/>
          <w:szCs w:val="22"/>
          <w:lang w:val="uk-UA"/>
        </w:rPr>
        <w:t>ис</w:t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sz w:val="22"/>
          <w:szCs w:val="22"/>
          <w:lang w:val="uk-UA"/>
        </w:rPr>
        <w:t>ПІБ</w:t>
      </w:r>
    </w:p>
    <w:p w14:paraId="183A26AE" w14:textId="77777777" w:rsidR="00DB120B" w:rsidRDefault="00DB120B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2106FB0B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6F7A0BE8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64C608EF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01296D49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483FA5B2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2905479B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1ECF00C5" w14:textId="6472A710" w:rsidR="00586326" w:rsidRDefault="00586326" w:rsidP="00606F2A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color w:val="000000"/>
          <w:sz w:val="22"/>
          <w:szCs w:val="22"/>
          <w:lang w:val="uk-UA"/>
        </w:rPr>
      </w:pPr>
    </w:p>
    <w:sectPr w:rsidR="00586326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90F1" w14:textId="77777777" w:rsidR="00F4166E" w:rsidRDefault="00F4166E" w:rsidP="00B948CF">
      <w:r>
        <w:separator/>
      </w:r>
    </w:p>
  </w:endnote>
  <w:endnote w:type="continuationSeparator" w:id="0">
    <w:p w14:paraId="6B588EA7" w14:textId="77777777" w:rsidR="00F4166E" w:rsidRDefault="00F4166E" w:rsidP="00B948CF">
      <w:r>
        <w:continuationSeparator/>
      </w:r>
    </w:p>
  </w:endnote>
  <w:endnote w:type="continuationNotice" w:id="1">
    <w:p w14:paraId="34C4D0DA" w14:textId="77777777" w:rsidR="00F4166E" w:rsidRDefault="00F41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FF4C" w14:textId="77777777" w:rsidR="00F4166E" w:rsidRDefault="00F4166E" w:rsidP="00B948CF">
      <w:r>
        <w:separator/>
      </w:r>
    </w:p>
  </w:footnote>
  <w:footnote w:type="continuationSeparator" w:id="0">
    <w:p w14:paraId="121F8013" w14:textId="77777777" w:rsidR="00F4166E" w:rsidRDefault="00F4166E" w:rsidP="00B948CF">
      <w:r>
        <w:continuationSeparator/>
      </w:r>
    </w:p>
  </w:footnote>
  <w:footnote w:type="continuationNotice" w:id="1">
    <w:p w14:paraId="3D6558A6" w14:textId="77777777" w:rsidR="00F4166E" w:rsidRDefault="00F41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D6D"/>
    <w:multiLevelType w:val="hybridMultilevel"/>
    <w:tmpl w:val="8B2ECB0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EF7057"/>
    <w:multiLevelType w:val="hybridMultilevel"/>
    <w:tmpl w:val="0A604358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342E6"/>
    <w:multiLevelType w:val="hybridMultilevel"/>
    <w:tmpl w:val="4E7682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70A2"/>
    <w:multiLevelType w:val="hybridMultilevel"/>
    <w:tmpl w:val="7640FA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16B1141"/>
    <w:multiLevelType w:val="hybridMultilevel"/>
    <w:tmpl w:val="620AA4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1B"/>
    <w:multiLevelType w:val="hybridMultilevel"/>
    <w:tmpl w:val="A4E0B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6920"/>
    <w:multiLevelType w:val="hybridMultilevel"/>
    <w:tmpl w:val="6860A50C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E3D3478"/>
    <w:multiLevelType w:val="hybridMultilevel"/>
    <w:tmpl w:val="91C6C8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0B5"/>
    <w:multiLevelType w:val="hybridMultilevel"/>
    <w:tmpl w:val="DBEA3B86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911691415">
    <w:abstractNumId w:val="14"/>
  </w:num>
  <w:num w:numId="2" w16cid:durableId="796334585">
    <w:abstractNumId w:val="9"/>
  </w:num>
  <w:num w:numId="3" w16cid:durableId="2022393133">
    <w:abstractNumId w:val="6"/>
  </w:num>
  <w:num w:numId="4" w16cid:durableId="271401053">
    <w:abstractNumId w:val="19"/>
  </w:num>
  <w:num w:numId="5" w16cid:durableId="923802013">
    <w:abstractNumId w:val="13"/>
  </w:num>
  <w:num w:numId="6" w16cid:durableId="831797829">
    <w:abstractNumId w:val="17"/>
  </w:num>
  <w:num w:numId="7" w16cid:durableId="187256949">
    <w:abstractNumId w:val="5"/>
  </w:num>
  <w:num w:numId="8" w16cid:durableId="759763480">
    <w:abstractNumId w:val="7"/>
  </w:num>
  <w:num w:numId="9" w16cid:durableId="1263101845">
    <w:abstractNumId w:val="1"/>
  </w:num>
  <w:num w:numId="10" w16cid:durableId="2089762677">
    <w:abstractNumId w:val="18"/>
  </w:num>
  <w:num w:numId="11" w16cid:durableId="1560674692">
    <w:abstractNumId w:val="16"/>
  </w:num>
  <w:num w:numId="12" w16cid:durableId="1595630758">
    <w:abstractNumId w:val="15"/>
  </w:num>
  <w:num w:numId="13" w16cid:durableId="2124497824">
    <w:abstractNumId w:val="0"/>
  </w:num>
  <w:num w:numId="14" w16cid:durableId="993489637">
    <w:abstractNumId w:val="3"/>
  </w:num>
  <w:num w:numId="15" w16cid:durableId="1567105400">
    <w:abstractNumId w:val="10"/>
  </w:num>
  <w:num w:numId="16" w16cid:durableId="2080324225">
    <w:abstractNumId w:val="4"/>
  </w:num>
  <w:num w:numId="17" w16cid:durableId="1525706867">
    <w:abstractNumId w:val="11"/>
  </w:num>
  <w:num w:numId="18" w16cid:durableId="191960538">
    <w:abstractNumId w:val="20"/>
  </w:num>
  <w:num w:numId="19" w16cid:durableId="934903257">
    <w:abstractNumId w:val="8"/>
  </w:num>
  <w:num w:numId="20" w16cid:durableId="382749582">
    <w:abstractNumId w:val="12"/>
  </w:num>
  <w:num w:numId="21" w16cid:durableId="143125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27FD0"/>
    <w:rsid w:val="00030A88"/>
    <w:rsid w:val="000323D3"/>
    <w:rsid w:val="000326A8"/>
    <w:rsid w:val="00033699"/>
    <w:rsid w:val="000353A1"/>
    <w:rsid w:val="0003635E"/>
    <w:rsid w:val="000368BE"/>
    <w:rsid w:val="00037277"/>
    <w:rsid w:val="00050974"/>
    <w:rsid w:val="000518F5"/>
    <w:rsid w:val="00052B37"/>
    <w:rsid w:val="00053D07"/>
    <w:rsid w:val="00064334"/>
    <w:rsid w:val="00073AB7"/>
    <w:rsid w:val="00076C46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3E4F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5A6E"/>
    <w:rsid w:val="0013164D"/>
    <w:rsid w:val="00131745"/>
    <w:rsid w:val="00131B8B"/>
    <w:rsid w:val="0013438F"/>
    <w:rsid w:val="001404AE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1AE4"/>
    <w:rsid w:val="00183480"/>
    <w:rsid w:val="00187B8C"/>
    <w:rsid w:val="00195482"/>
    <w:rsid w:val="00196AEF"/>
    <w:rsid w:val="00197050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3564"/>
    <w:rsid w:val="00204FE3"/>
    <w:rsid w:val="00211859"/>
    <w:rsid w:val="002174C2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5B38"/>
    <w:rsid w:val="002F17B5"/>
    <w:rsid w:val="002F4A2D"/>
    <w:rsid w:val="00302684"/>
    <w:rsid w:val="003057FE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A99"/>
    <w:rsid w:val="00331F55"/>
    <w:rsid w:val="0033293A"/>
    <w:rsid w:val="00336DBE"/>
    <w:rsid w:val="00337032"/>
    <w:rsid w:val="003405A0"/>
    <w:rsid w:val="00345290"/>
    <w:rsid w:val="00345840"/>
    <w:rsid w:val="00345ABF"/>
    <w:rsid w:val="003503D1"/>
    <w:rsid w:val="00352934"/>
    <w:rsid w:val="003531E2"/>
    <w:rsid w:val="00354C72"/>
    <w:rsid w:val="00364599"/>
    <w:rsid w:val="00364D70"/>
    <w:rsid w:val="00372412"/>
    <w:rsid w:val="00374D1F"/>
    <w:rsid w:val="003768A8"/>
    <w:rsid w:val="00381D01"/>
    <w:rsid w:val="003829B1"/>
    <w:rsid w:val="0038419C"/>
    <w:rsid w:val="00384DF7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1FD1"/>
    <w:rsid w:val="003B3365"/>
    <w:rsid w:val="003B4B27"/>
    <w:rsid w:val="003B6636"/>
    <w:rsid w:val="003C38A9"/>
    <w:rsid w:val="003C62C7"/>
    <w:rsid w:val="003D0E2E"/>
    <w:rsid w:val="003D3900"/>
    <w:rsid w:val="003D4B0B"/>
    <w:rsid w:val="003D6052"/>
    <w:rsid w:val="003E0FB2"/>
    <w:rsid w:val="003E2898"/>
    <w:rsid w:val="003F00FB"/>
    <w:rsid w:val="003F1409"/>
    <w:rsid w:val="003F16E7"/>
    <w:rsid w:val="003F3613"/>
    <w:rsid w:val="003F37F7"/>
    <w:rsid w:val="003F5FA5"/>
    <w:rsid w:val="003F5FB6"/>
    <w:rsid w:val="0040065B"/>
    <w:rsid w:val="004007AF"/>
    <w:rsid w:val="00403B2E"/>
    <w:rsid w:val="004043F6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5FAC"/>
    <w:rsid w:val="0046077E"/>
    <w:rsid w:val="004647AE"/>
    <w:rsid w:val="0046488C"/>
    <w:rsid w:val="00467A47"/>
    <w:rsid w:val="0047143A"/>
    <w:rsid w:val="004740C5"/>
    <w:rsid w:val="0047645E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10A63"/>
    <w:rsid w:val="00514676"/>
    <w:rsid w:val="00515D5B"/>
    <w:rsid w:val="0052037D"/>
    <w:rsid w:val="00520539"/>
    <w:rsid w:val="00521B5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1972"/>
    <w:rsid w:val="00562A85"/>
    <w:rsid w:val="00571608"/>
    <w:rsid w:val="00571953"/>
    <w:rsid w:val="00573EE1"/>
    <w:rsid w:val="00575F16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4028"/>
    <w:rsid w:val="006876AF"/>
    <w:rsid w:val="00690D58"/>
    <w:rsid w:val="0069387D"/>
    <w:rsid w:val="00695831"/>
    <w:rsid w:val="00695C69"/>
    <w:rsid w:val="00696221"/>
    <w:rsid w:val="006A00F9"/>
    <w:rsid w:val="006A2B1B"/>
    <w:rsid w:val="006A37BC"/>
    <w:rsid w:val="006A4048"/>
    <w:rsid w:val="006A42DA"/>
    <w:rsid w:val="006B32DC"/>
    <w:rsid w:val="006B3778"/>
    <w:rsid w:val="006B4C2C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0831"/>
    <w:rsid w:val="00703210"/>
    <w:rsid w:val="00705999"/>
    <w:rsid w:val="00706831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2814"/>
    <w:rsid w:val="00796619"/>
    <w:rsid w:val="007970A2"/>
    <w:rsid w:val="007B0ABC"/>
    <w:rsid w:val="007B42B0"/>
    <w:rsid w:val="007B7E59"/>
    <w:rsid w:val="007C1C8A"/>
    <w:rsid w:val="007C27D0"/>
    <w:rsid w:val="007C53A6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1B3A"/>
    <w:rsid w:val="0080439D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19DE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486F"/>
    <w:rsid w:val="00876A0F"/>
    <w:rsid w:val="008838DD"/>
    <w:rsid w:val="00883CDA"/>
    <w:rsid w:val="00885F6D"/>
    <w:rsid w:val="00887059"/>
    <w:rsid w:val="0088720A"/>
    <w:rsid w:val="0089140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2607"/>
    <w:rsid w:val="00945F7F"/>
    <w:rsid w:val="009470DF"/>
    <w:rsid w:val="009477C7"/>
    <w:rsid w:val="009519BA"/>
    <w:rsid w:val="00954316"/>
    <w:rsid w:val="009563A3"/>
    <w:rsid w:val="0095670C"/>
    <w:rsid w:val="00956993"/>
    <w:rsid w:val="009577B4"/>
    <w:rsid w:val="009616E9"/>
    <w:rsid w:val="0096230F"/>
    <w:rsid w:val="00962E7A"/>
    <w:rsid w:val="0096324C"/>
    <w:rsid w:val="009676CC"/>
    <w:rsid w:val="009678FC"/>
    <w:rsid w:val="009701EC"/>
    <w:rsid w:val="00970AAC"/>
    <w:rsid w:val="00970C03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C3D48"/>
    <w:rsid w:val="009C3FE8"/>
    <w:rsid w:val="009C480D"/>
    <w:rsid w:val="009E0D0D"/>
    <w:rsid w:val="009E55E9"/>
    <w:rsid w:val="009F1FAA"/>
    <w:rsid w:val="00A0149E"/>
    <w:rsid w:val="00A01D08"/>
    <w:rsid w:val="00A07B0B"/>
    <w:rsid w:val="00A12EC0"/>
    <w:rsid w:val="00A15C22"/>
    <w:rsid w:val="00A206D9"/>
    <w:rsid w:val="00A217DF"/>
    <w:rsid w:val="00A3234D"/>
    <w:rsid w:val="00A365D1"/>
    <w:rsid w:val="00A37570"/>
    <w:rsid w:val="00A42C7B"/>
    <w:rsid w:val="00A43868"/>
    <w:rsid w:val="00A514CD"/>
    <w:rsid w:val="00A526B6"/>
    <w:rsid w:val="00A545A6"/>
    <w:rsid w:val="00A60480"/>
    <w:rsid w:val="00A63A8E"/>
    <w:rsid w:val="00A64BD3"/>
    <w:rsid w:val="00A66CEA"/>
    <w:rsid w:val="00A70CEA"/>
    <w:rsid w:val="00A70FB4"/>
    <w:rsid w:val="00A728DC"/>
    <w:rsid w:val="00A752EC"/>
    <w:rsid w:val="00A8066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E3E3A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C0CE4"/>
    <w:rsid w:val="00BD04B7"/>
    <w:rsid w:val="00BD0CC8"/>
    <w:rsid w:val="00BD1B49"/>
    <w:rsid w:val="00BD6500"/>
    <w:rsid w:val="00BE3096"/>
    <w:rsid w:val="00BE360A"/>
    <w:rsid w:val="00BE3769"/>
    <w:rsid w:val="00BE6617"/>
    <w:rsid w:val="00BE68EC"/>
    <w:rsid w:val="00BE757B"/>
    <w:rsid w:val="00BF2CA9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0618A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7E47"/>
    <w:rsid w:val="00C9008E"/>
    <w:rsid w:val="00C93350"/>
    <w:rsid w:val="00CA3753"/>
    <w:rsid w:val="00CA3E3B"/>
    <w:rsid w:val="00CA5906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E313B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30948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192B"/>
    <w:rsid w:val="00D7523D"/>
    <w:rsid w:val="00D80166"/>
    <w:rsid w:val="00D85806"/>
    <w:rsid w:val="00D85EFB"/>
    <w:rsid w:val="00D90FAD"/>
    <w:rsid w:val="00D92E1B"/>
    <w:rsid w:val="00D96756"/>
    <w:rsid w:val="00DA1376"/>
    <w:rsid w:val="00DA338D"/>
    <w:rsid w:val="00DA3871"/>
    <w:rsid w:val="00DA4808"/>
    <w:rsid w:val="00DA51F8"/>
    <w:rsid w:val="00DA626A"/>
    <w:rsid w:val="00DA763D"/>
    <w:rsid w:val="00DB0A2E"/>
    <w:rsid w:val="00DB120B"/>
    <w:rsid w:val="00DB3970"/>
    <w:rsid w:val="00DB4E0C"/>
    <w:rsid w:val="00DB74CD"/>
    <w:rsid w:val="00DC4600"/>
    <w:rsid w:val="00DC5602"/>
    <w:rsid w:val="00DC632B"/>
    <w:rsid w:val="00DC7526"/>
    <w:rsid w:val="00DC7FDB"/>
    <w:rsid w:val="00DD2265"/>
    <w:rsid w:val="00DD3B3A"/>
    <w:rsid w:val="00DD71CA"/>
    <w:rsid w:val="00DD7CF7"/>
    <w:rsid w:val="00DE38F2"/>
    <w:rsid w:val="00DF07E5"/>
    <w:rsid w:val="00DF671B"/>
    <w:rsid w:val="00DF6FED"/>
    <w:rsid w:val="00DF7B8C"/>
    <w:rsid w:val="00E02CEE"/>
    <w:rsid w:val="00E0333D"/>
    <w:rsid w:val="00E0386B"/>
    <w:rsid w:val="00E05427"/>
    <w:rsid w:val="00E0693B"/>
    <w:rsid w:val="00E10574"/>
    <w:rsid w:val="00E10763"/>
    <w:rsid w:val="00E12786"/>
    <w:rsid w:val="00E152FF"/>
    <w:rsid w:val="00E17D84"/>
    <w:rsid w:val="00E21051"/>
    <w:rsid w:val="00E249FD"/>
    <w:rsid w:val="00E25884"/>
    <w:rsid w:val="00E260CB"/>
    <w:rsid w:val="00E31AEA"/>
    <w:rsid w:val="00E3346C"/>
    <w:rsid w:val="00E40717"/>
    <w:rsid w:val="00E42B82"/>
    <w:rsid w:val="00E459FB"/>
    <w:rsid w:val="00E45E30"/>
    <w:rsid w:val="00E501A9"/>
    <w:rsid w:val="00E52B0E"/>
    <w:rsid w:val="00E53ECF"/>
    <w:rsid w:val="00E54E1A"/>
    <w:rsid w:val="00E56488"/>
    <w:rsid w:val="00E56F49"/>
    <w:rsid w:val="00E578DF"/>
    <w:rsid w:val="00E601EA"/>
    <w:rsid w:val="00E603E1"/>
    <w:rsid w:val="00E64BD5"/>
    <w:rsid w:val="00E712CD"/>
    <w:rsid w:val="00E74C0D"/>
    <w:rsid w:val="00E74FDE"/>
    <w:rsid w:val="00E75B06"/>
    <w:rsid w:val="00E84553"/>
    <w:rsid w:val="00E85575"/>
    <w:rsid w:val="00E944CA"/>
    <w:rsid w:val="00E947DC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66A"/>
    <w:rsid w:val="00EC2F48"/>
    <w:rsid w:val="00EC6B60"/>
    <w:rsid w:val="00ED3326"/>
    <w:rsid w:val="00ED3A2E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47D5"/>
    <w:rsid w:val="00F14814"/>
    <w:rsid w:val="00F16762"/>
    <w:rsid w:val="00F214CD"/>
    <w:rsid w:val="00F247EB"/>
    <w:rsid w:val="00F24A52"/>
    <w:rsid w:val="00F2630F"/>
    <w:rsid w:val="00F2642F"/>
    <w:rsid w:val="00F27382"/>
    <w:rsid w:val="00F3069A"/>
    <w:rsid w:val="00F31154"/>
    <w:rsid w:val="00F31CF9"/>
    <w:rsid w:val="00F32D8D"/>
    <w:rsid w:val="00F363BC"/>
    <w:rsid w:val="00F36664"/>
    <w:rsid w:val="00F4026F"/>
    <w:rsid w:val="00F41538"/>
    <w:rsid w:val="00F4166E"/>
    <w:rsid w:val="00F41866"/>
    <w:rsid w:val="00F43CC1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6391E"/>
    <w:rsid w:val="00F6703A"/>
    <w:rsid w:val="00F703CA"/>
    <w:rsid w:val="00F70598"/>
    <w:rsid w:val="00F709A0"/>
    <w:rsid w:val="00F715FD"/>
    <w:rsid w:val="00F73140"/>
    <w:rsid w:val="00F75E52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B0085"/>
    <w:rsid w:val="00FC1FF6"/>
    <w:rsid w:val="00FC2EA7"/>
    <w:rsid w:val="00FC7287"/>
    <w:rsid w:val="00FD073F"/>
    <w:rsid w:val="00FD0AFA"/>
    <w:rsid w:val="00FD2732"/>
    <w:rsid w:val="00FD5AB4"/>
    <w:rsid w:val="00FE32BD"/>
    <w:rsid w:val="00FF03D8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f1">
    <w:name w:val="Абзац списку Знак"/>
    <w:basedOn w:val="a0"/>
    <w:link w:val="af0"/>
    <w:uiPriority w:val="34"/>
    <w:rsid w:val="00DB120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11812</Words>
  <Characters>6733</Characters>
  <Application>Microsoft Office Word</Application>
  <DocSecurity>0</DocSecurity>
  <Lines>56</Lines>
  <Paragraphs>37</Paragraphs>
  <ScaleCrop>false</ScaleCrop>
  <Company>AUN of PLWH</Company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88</cp:revision>
  <cp:lastPrinted>2025-10-30T10:25:00Z</cp:lastPrinted>
  <dcterms:created xsi:type="dcterms:W3CDTF">2024-10-29T09:35:00Z</dcterms:created>
  <dcterms:modified xsi:type="dcterms:W3CDTF">2025-11-06T08:19:00Z</dcterms:modified>
</cp:coreProperties>
</file>