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DE84778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31068F">
        <w:rPr>
          <w:b/>
          <w:sz w:val="22"/>
          <w:szCs w:val="22"/>
          <w:lang w:val="uk-UA"/>
        </w:rPr>
        <w:t>«</w:t>
      </w:r>
      <w:r w:rsidR="0031068F" w:rsidRPr="0031068F">
        <w:rPr>
          <w:b/>
          <w:sz w:val="22"/>
          <w:szCs w:val="22"/>
          <w:lang w:val="uk-UA"/>
        </w:rPr>
        <w:t>09</w:t>
      </w:r>
      <w:r w:rsidR="005A5F8A" w:rsidRPr="0031068F">
        <w:rPr>
          <w:b/>
          <w:sz w:val="22"/>
          <w:szCs w:val="22"/>
          <w:lang w:val="uk-UA"/>
        </w:rPr>
        <w:t xml:space="preserve">» </w:t>
      </w:r>
      <w:r w:rsidR="0031068F" w:rsidRPr="0031068F">
        <w:rPr>
          <w:b/>
          <w:sz w:val="22"/>
          <w:szCs w:val="22"/>
          <w:lang w:val="uk-UA"/>
        </w:rPr>
        <w:t xml:space="preserve">жовтня </w:t>
      </w:r>
      <w:r w:rsidR="005A5F8A" w:rsidRPr="0031068F">
        <w:rPr>
          <w:b/>
          <w:sz w:val="22"/>
          <w:szCs w:val="22"/>
          <w:lang w:val="uk-UA"/>
        </w:rPr>
        <w:t>202</w:t>
      </w:r>
      <w:r w:rsidR="0031068F" w:rsidRPr="0031068F">
        <w:rPr>
          <w:b/>
          <w:sz w:val="22"/>
          <w:szCs w:val="22"/>
          <w:lang w:val="uk-UA"/>
        </w:rPr>
        <w:t>5</w:t>
      </w:r>
      <w:r w:rsidR="005A5F8A" w:rsidRPr="0031068F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198EEA31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5D4D3F">
        <w:rPr>
          <w:b/>
          <w:bCs/>
          <w:sz w:val="22"/>
          <w:szCs w:val="22"/>
          <w:lang w:val="uk-UA"/>
        </w:rPr>
        <w:t>_2325-2326ОК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4D08B9F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EA10CA">
        <w:rPr>
          <w:sz w:val="22"/>
          <w:szCs w:val="22"/>
          <w:lang w:val="uk-UA"/>
        </w:rPr>
        <w:t xml:space="preserve"> послуг </w:t>
      </w:r>
      <w:r w:rsidR="00681743">
        <w:rPr>
          <w:sz w:val="22"/>
          <w:szCs w:val="22"/>
          <w:lang w:val="uk-UA"/>
        </w:rPr>
        <w:t xml:space="preserve">із </w:t>
      </w:r>
      <w:r w:rsidR="00EA10CA">
        <w:rPr>
          <w:sz w:val="22"/>
          <w:szCs w:val="22"/>
          <w:lang w:val="uk-UA"/>
        </w:rPr>
        <w:t xml:space="preserve">дослідження сприйняття населенням України діяльності, іміджу та ролі </w:t>
      </w:r>
      <w:r w:rsidR="00442786">
        <w:rPr>
          <w:sz w:val="22"/>
          <w:szCs w:val="22"/>
          <w:lang w:val="uk-UA"/>
        </w:rPr>
        <w:t xml:space="preserve">Товариства Червоного Хреста України (ТЧХУ), а також розуміння </w:t>
      </w:r>
      <w:r w:rsidR="004056F4" w:rsidRPr="004E4113">
        <w:rPr>
          <w:sz w:val="22"/>
          <w:szCs w:val="22"/>
          <w:lang w:val="uk-UA"/>
        </w:rPr>
        <w:t>відмінностей</w:t>
      </w:r>
      <w:r w:rsidR="00442786">
        <w:rPr>
          <w:sz w:val="22"/>
          <w:szCs w:val="22"/>
          <w:lang w:val="uk-UA"/>
        </w:rPr>
        <w:t xml:space="preserve"> між організаціями </w:t>
      </w:r>
      <w:proofErr w:type="spellStart"/>
      <w:r w:rsidR="00442786">
        <w:rPr>
          <w:sz w:val="22"/>
          <w:szCs w:val="22"/>
          <w:lang w:val="uk-UA"/>
        </w:rPr>
        <w:t>червонохресного</w:t>
      </w:r>
      <w:proofErr w:type="spellEnd"/>
      <w:r w:rsidR="00442786">
        <w:rPr>
          <w:sz w:val="22"/>
          <w:szCs w:val="22"/>
          <w:lang w:val="uk-UA"/>
        </w:rPr>
        <w:t xml:space="preserve"> руху.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714"/>
        <w:gridCol w:w="2693"/>
        <w:gridCol w:w="2381"/>
      </w:tblGrid>
      <w:tr w:rsidR="004C2787" w:rsidRPr="000B48D8" w14:paraId="56DE4E59" w14:textId="77777777" w:rsidTr="00925210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714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693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381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925210">
        <w:trPr>
          <w:trHeight w:val="1141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714" w:type="dxa"/>
            <w:vAlign w:val="center"/>
          </w:tcPr>
          <w:p w14:paraId="5D6D90EE" w14:textId="3FB6FEC8" w:rsidR="001520C0" w:rsidRPr="000B48D8" w:rsidRDefault="001D728F" w:rsidP="001D728F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Послуги із дослідження сприйняття населенням України діяльності, іміджу та ролі ТЧХУ, а також розуміння </w:t>
            </w:r>
            <w:r w:rsidRPr="004E4113">
              <w:rPr>
                <w:sz w:val="22"/>
                <w:szCs w:val="22"/>
                <w:lang w:val="uk-UA"/>
              </w:rPr>
              <w:t xml:space="preserve">відмінностей між організаціями </w:t>
            </w:r>
            <w:proofErr w:type="spellStart"/>
            <w:r w:rsidRPr="004E4113">
              <w:rPr>
                <w:sz w:val="22"/>
                <w:szCs w:val="22"/>
                <w:lang w:val="uk-UA"/>
              </w:rPr>
              <w:t>червонохресного</w:t>
            </w:r>
            <w:proofErr w:type="spellEnd"/>
            <w:r w:rsidRPr="004E4113">
              <w:rPr>
                <w:sz w:val="22"/>
                <w:szCs w:val="22"/>
                <w:lang w:val="uk-UA"/>
              </w:rPr>
              <w:t xml:space="preserve"> руху.</w:t>
            </w:r>
          </w:p>
        </w:tc>
        <w:tc>
          <w:tcPr>
            <w:tcW w:w="2693" w:type="dxa"/>
            <w:vAlign w:val="center"/>
          </w:tcPr>
          <w:p w14:paraId="4F5DE3BC" w14:textId="4184F8DB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476611">
              <w:rPr>
                <w:bCs/>
                <w:spacing w:val="-6"/>
                <w:sz w:val="22"/>
                <w:szCs w:val="22"/>
                <w:lang w:val="uk-UA"/>
              </w:rPr>
              <w:t xml:space="preserve">2 та </w:t>
            </w:r>
            <w:r w:rsidR="007D5F0E">
              <w:rPr>
                <w:bCs/>
                <w:spacing w:val="-6"/>
                <w:sz w:val="22"/>
                <w:szCs w:val="22"/>
                <w:lang w:val="uk-UA"/>
              </w:rPr>
              <w:t>Додатку №3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5FF68500" w14:textId="37A97493" w:rsidR="001520C0" w:rsidRPr="00A3721F" w:rsidRDefault="007D5F0E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№2 та Додатку №3 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1591FFE9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846E51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752CF08D" w:rsidR="005A5F8A" w:rsidRPr="005A4EC0" w:rsidRDefault="00971054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5A4EC0">
        <w:rPr>
          <w:b/>
          <w:sz w:val="22"/>
          <w:szCs w:val="22"/>
          <w:lang w:val="uk-UA"/>
        </w:rPr>
        <w:t>Очікуваний термін виконання</w:t>
      </w:r>
      <w:r w:rsidR="00BE4927" w:rsidRPr="005A4EC0">
        <w:rPr>
          <w:b/>
          <w:sz w:val="22"/>
          <w:szCs w:val="22"/>
          <w:lang w:val="uk-UA"/>
        </w:rPr>
        <w:t xml:space="preserve"> </w:t>
      </w:r>
      <w:proofErr w:type="spellStart"/>
      <w:r w:rsidR="00BE4927" w:rsidRPr="005A4EC0">
        <w:rPr>
          <w:b/>
          <w:sz w:val="22"/>
          <w:szCs w:val="22"/>
          <w:lang w:val="uk-UA"/>
        </w:rPr>
        <w:t>проєкту</w:t>
      </w:r>
      <w:proofErr w:type="spellEnd"/>
      <w:r w:rsidR="005A5F8A" w:rsidRPr="005A4EC0">
        <w:rPr>
          <w:b/>
          <w:sz w:val="22"/>
          <w:szCs w:val="22"/>
          <w:lang w:val="uk-UA"/>
        </w:rPr>
        <w:t xml:space="preserve">: </w:t>
      </w:r>
      <w:r w:rsidR="00AD0930" w:rsidRPr="005A4EC0">
        <w:rPr>
          <w:bCs/>
          <w:sz w:val="22"/>
          <w:szCs w:val="22"/>
          <w:lang w:val="uk-UA"/>
        </w:rPr>
        <w:t xml:space="preserve">до </w:t>
      </w:r>
      <w:r w:rsidR="005A4EC0" w:rsidRPr="005A4EC0">
        <w:rPr>
          <w:bCs/>
          <w:sz w:val="22"/>
          <w:szCs w:val="22"/>
          <w:lang w:val="uk-UA"/>
        </w:rPr>
        <w:t>28</w:t>
      </w:r>
      <w:r w:rsidR="00846E51" w:rsidRPr="005A4EC0">
        <w:rPr>
          <w:bCs/>
          <w:sz w:val="22"/>
          <w:szCs w:val="22"/>
          <w:lang w:val="uk-UA"/>
        </w:rPr>
        <w:t>.</w:t>
      </w:r>
      <w:r w:rsidR="005A4EC0" w:rsidRPr="005A4EC0">
        <w:rPr>
          <w:bCs/>
          <w:sz w:val="22"/>
          <w:szCs w:val="22"/>
          <w:lang w:val="uk-UA"/>
        </w:rPr>
        <w:t>02</w:t>
      </w:r>
      <w:r w:rsidR="00AD0930" w:rsidRPr="005A4EC0">
        <w:rPr>
          <w:bCs/>
          <w:sz w:val="22"/>
          <w:szCs w:val="22"/>
          <w:lang w:val="uk-UA"/>
        </w:rPr>
        <w:t>.2025 року</w:t>
      </w:r>
      <w:r w:rsidR="001C096A" w:rsidRPr="005A4EC0">
        <w:rPr>
          <w:bCs/>
          <w:sz w:val="22"/>
          <w:szCs w:val="22"/>
          <w:lang w:val="uk-UA"/>
        </w:rPr>
        <w:t>.</w:t>
      </w:r>
    </w:p>
    <w:p w14:paraId="2189EAC6" w14:textId="7CA073B6" w:rsidR="000A7594" w:rsidRPr="001C096A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4EC0">
        <w:rPr>
          <w:b/>
          <w:sz w:val="22"/>
          <w:szCs w:val="22"/>
          <w:lang w:val="uk-UA"/>
        </w:rPr>
        <w:t>Місц</w:t>
      </w:r>
      <w:r w:rsidR="001C096A" w:rsidRPr="005A4EC0">
        <w:rPr>
          <w:b/>
          <w:sz w:val="22"/>
          <w:szCs w:val="22"/>
          <w:lang w:val="uk-UA"/>
        </w:rPr>
        <w:t>езнаходження замовника</w:t>
      </w:r>
      <w:r w:rsidRPr="005A4EC0">
        <w:rPr>
          <w:b/>
          <w:sz w:val="22"/>
          <w:szCs w:val="22"/>
          <w:lang w:val="uk-UA"/>
        </w:rPr>
        <w:t>:</w:t>
      </w:r>
      <w:r w:rsidR="00937CCC" w:rsidRPr="005A4EC0">
        <w:rPr>
          <w:b/>
          <w:sz w:val="22"/>
          <w:szCs w:val="22"/>
          <w:lang w:val="uk-UA"/>
        </w:rPr>
        <w:t xml:space="preserve"> </w:t>
      </w:r>
      <w:r w:rsidR="001C096A" w:rsidRPr="005A4EC0">
        <w:rPr>
          <w:bCs/>
          <w:sz w:val="22"/>
          <w:szCs w:val="22"/>
          <w:lang w:val="uk-UA"/>
        </w:rPr>
        <w:t>м. Київ, вул. Ділова, 3.</w:t>
      </w:r>
      <w:r w:rsidR="001C3132" w:rsidRPr="001C096A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1C096A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1C096A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*Учасник процедури </w:t>
      </w:r>
      <w:proofErr w:type="spellStart"/>
      <w:r w:rsidRPr="001C096A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закупівель</w:t>
      </w:r>
      <w:proofErr w:type="spellEnd"/>
      <w:r w:rsidRPr="001C096A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(далі - Учасник) - фізична особа-підприємець, юридична особа, яка подала </w:t>
      </w:r>
      <w:r w:rsidR="0085481F" w:rsidRPr="001C096A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цінову</w:t>
      </w:r>
      <w:r w:rsidRPr="001C096A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925EA8" w14:paraId="17D899A6" w14:textId="77777777" w:rsidTr="001C096A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C0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1C0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1C0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C0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1C0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46899E5E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1C09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</w:t>
            </w:r>
            <w:r w:rsidR="001C096A" w:rsidRPr="007D5F0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формі Додатку №</w:t>
            </w:r>
            <w:r w:rsidR="00E96572" w:rsidRPr="007D5F0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1160D3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1160D3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1160D3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925EA8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07D3840F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1160D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AD4601" w:rsidRPr="00557A29" w14:paraId="04A19F75" w14:textId="77777777" w:rsidTr="00605C06">
        <w:trPr>
          <w:trHeight w:val="76"/>
        </w:trPr>
        <w:tc>
          <w:tcPr>
            <w:tcW w:w="601" w:type="dxa"/>
          </w:tcPr>
          <w:p w14:paraId="62A0C1AA" w14:textId="77777777" w:rsidR="00AD4601" w:rsidRPr="00BC13F3" w:rsidRDefault="00AD4601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C328846" w14:textId="467D5932" w:rsidR="00AD4601" w:rsidRPr="00AD4601" w:rsidRDefault="00AD4601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Досвід виконання аналогічних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проєктів</w:t>
            </w:r>
            <w:proofErr w:type="spellEnd"/>
          </w:p>
        </w:tc>
        <w:tc>
          <w:tcPr>
            <w:tcW w:w="4521" w:type="dxa"/>
          </w:tcPr>
          <w:p w14:paraId="1ACAD37A" w14:textId="77777777" w:rsidR="00AD4601" w:rsidRDefault="00C34F55" w:rsidP="004C6DDE">
            <w:pPr>
              <w:pStyle w:val="af"/>
              <w:numPr>
                <w:ilvl w:val="0"/>
                <w:numId w:val="3"/>
              </w:numPr>
              <w:ind w:left="0" w:firstLine="64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A917B4">
              <w:rPr>
                <w:sz w:val="22"/>
                <w:szCs w:val="22"/>
                <w:lang w:val="uk-UA"/>
              </w:rPr>
              <w:t xml:space="preserve">Портфоліо </w:t>
            </w:r>
            <w:r w:rsidR="00A917B4" w:rsidRPr="00A917B4">
              <w:rPr>
                <w:sz w:val="22"/>
                <w:szCs w:val="22"/>
                <w:lang w:val="uk-UA"/>
              </w:rPr>
              <w:t xml:space="preserve">Виконавця з </w:t>
            </w:r>
            <w:r w:rsidR="00A917B4">
              <w:rPr>
                <w:sz w:val="22"/>
                <w:szCs w:val="22"/>
                <w:lang w:val="uk-UA" w:eastAsia="uk-UA"/>
              </w:rPr>
              <w:t>о</w:t>
            </w:r>
            <w:r w:rsidR="00A917B4" w:rsidRPr="00A917B4">
              <w:rPr>
                <w:sz w:val="22"/>
                <w:szCs w:val="22"/>
                <w:lang w:val="uk-UA" w:eastAsia="uk-UA"/>
              </w:rPr>
              <w:t>пис</w:t>
            </w:r>
            <w:r w:rsidR="00A917B4">
              <w:rPr>
                <w:sz w:val="22"/>
                <w:szCs w:val="22"/>
                <w:lang w:val="uk-UA" w:eastAsia="uk-UA"/>
              </w:rPr>
              <w:t>ом</w:t>
            </w:r>
            <w:r w:rsidR="00A917B4" w:rsidRPr="00A917B4">
              <w:rPr>
                <w:sz w:val="22"/>
                <w:szCs w:val="22"/>
                <w:lang w:val="uk-UA" w:eastAsia="uk-UA"/>
              </w:rPr>
              <w:t xml:space="preserve"> організації та досвід</w:t>
            </w:r>
            <w:r w:rsidR="00A917B4">
              <w:rPr>
                <w:sz w:val="22"/>
                <w:szCs w:val="22"/>
                <w:lang w:val="uk-UA" w:eastAsia="uk-UA"/>
              </w:rPr>
              <w:t>ом</w:t>
            </w:r>
            <w:r w:rsidR="00A917B4" w:rsidRPr="00A917B4">
              <w:rPr>
                <w:sz w:val="22"/>
                <w:szCs w:val="22"/>
                <w:lang w:val="uk-UA" w:eastAsia="uk-UA"/>
              </w:rPr>
              <w:t xml:space="preserve"> надання послуг</w:t>
            </w:r>
            <w:r w:rsidR="004C6DDE">
              <w:rPr>
                <w:sz w:val="22"/>
                <w:szCs w:val="22"/>
                <w:lang w:val="uk-UA" w:eastAsia="uk-UA"/>
              </w:rPr>
              <w:t xml:space="preserve">/виконанням </w:t>
            </w:r>
            <w:proofErr w:type="spellStart"/>
            <w:r w:rsidR="004C6DDE">
              <w:rPr>
                <w:sz w:val="22"/>
                <w:szCs w:val="22"/>
                <w:lang w:val="uk-UA" w:eastAsia="uk-UA"/>
              </w:rPr>
              <w:t>проєктів</w:t>
            </w:r>
            <w:proofErr w:type="spellEnd"/>
            <w:r w:rsidR="004C6DDE">
              <w:rPr>
                <w:sz w:val="22"/>
                <w:szCs w:val="22"/>
                <w:lang w:val="uk-UA" w:eastAsia="uk-UA"/>
              </w:rPr>
              <w:t>,</w:t>
            </w:r>
            <w:r w:rsidR="00A917B4" w:rsidRPr="00A917B4">
              <w:rPr>
                <w:sz w:val="22"/>
                <w:szCs w:val="22"/>
                <w:lang w:val="uk-UA" w:eastAsia="uk-UA"/>
              </w:rPr>
              <w:t xml:space="preserve"> релевантних поточному технічному завданню із наведенням посилань на останні реалізовані дослідження. </w:t>
            </w:r>
          </w:p>
          <w:p w14:paraId="4A3A0124" w14:textId="6BC33165" w:rsidR="0051065B" w:rsidRPr="00A164EB" w:rsidRDefault="0051065B" w:rsidP="004C6DDE">
            <w:pPr>
              <w:pStyle w:val="af"/>
              <w:numPr>
                <w:ilvl w:val="0"/>
                <w:numId w:val="3"/>
              </w:numPr>
              <w:ind w:left="0" w:firstLine="64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Р</w:t>
            </w:r>
            <w:r w:rsidRPr="001A6B73">
              <w:rPr>
                <w:sz w:val="22"/>
                <w:szCs w:val="22"/>
                <w:lang w:val="uk-UA" w:eastAsia="uk-UA"/>
              </w:rPr>
              <w:t xml:space="preserve">екомендаційні листи від </w:t>
            </w:r>
            <w:r w:rsidR="00F114B4">
              <w:rPr>
                <w:sz w:val="22"/>
                <w:szCs w:val="22"/>
                <w:lang w:val="uk-UA" w:eastAsia="uk-UA"/>
              </w:rPr>
              <w:t xml:space="preserve">попередніх </w:t>
            </w:r>
            <w:r w:rsidRPr="001A6B73">
              <w:rPr>
                <w:sz w:val="22"/>
                <w:szCs w:val="22"/>
                <w:lang w:val="uk-UA" w:eastAsia="uk-UA"/>
              </w:rPr>
              <w:t>замовників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 w:rsidR="00F114B4">
              <w:rPr>
                <w:sz w:val="22"/>
                <w:szCs w:val="22"/>
                <w:lang w:val="uk-UA" w:eastAsia="uk-UA"/>
              </w:rPr>
              <w:t xml:space="preserve"> (за наявності)</w:t>
            </w:r>
            <w:r w:rsidR="0031068F">
              <w:rPr>
                <w:sz w:val="22"/>
                <w:szCs w:val="22"/>
                <w:lang w:val="uk-UA" w:eastAsia="uk-UA"/>
              </w:rPr>
              <w:t>.</w:t>
            </w:r>
          </w:p>
          <w:p w14:paraId="49A2C663" w14:textId="3A4AD153" w:rsidR="00A164EB" w:rsidRPr="0031068F" w:rsidRDefault="00A164EB" w:rsidP="004C6DDE">
            <w:pPr>
              <w:pStyle w:val="af"/>
              <w:numPr>
                <w:ilvl w:val="0"/>
                <w:numId w:val="3"/>
              </w:numPr>
              <w:ind w:left="0" w:firstLine="64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31068F">
              <w:rPr>
                <w:b/>
                <w:bCs/>
                <w:sz w:val="22"/>
                <w:szCs w:val="22"/>
                <w:lang w:val="uk-UA" w:eastAsia="uk-UA"/>
              </w:rPr>
              <w:t>Зразки звітів</w:t>
            </w:r>
            <w:r w:rsidRPr="0031068F">
              <w:rPr>
                <w:sz w:val="22"/>
                <w:szCs w:val="22"/>
                <w:lang w:val="uk-UA" w:eastAsia="uk-UA"/>
              </w:rPr>
              <w:t xml:space="preserve"> за проведеними дослідженнями (за можливості, результати можуть бути частково </w:t>
            </w:r>
            <w:proofErr w:type="spellStart"/>
            <w:r w:rsidRPr="0031068F">
              <w:rPr>
                <w:sz w:val="22"/>
                <w:szCs w:val="22"/>
                <w:lang w:val="uk-UA" w:eastAsia="uk-UA"/>
              </w:rPr>
              <w:t>зацензуровані</w:t>
            </w:r>
            <w:proofErr w:type="spellEnd"/>
            <w:r w:rsidRPr="0031068F">
              <w:rPr>
                <w:sz w:val="22"/>
                <w:szCs w:val="22"/>
                <w:lang w:val="uk-UA" w:eastAsia="uk-UA"/>
              </w:rPr>
              <w:t xml:space="preserve"> або без розкриття конфіденційної інформації)</w:t>
            </w:r>
            <w:r w:rsidR="0031068F">
              <w:rPr>
                <w:sz w:val="22"/>
                <w:szCs w:val="22"/>
                <w:lang w:val="uk-UA" w:eastAsia="uk-UA"/>
              </w:rPr>
              <w:t>.</w:t>
            </w:r>
          </w:p>
        </w:tc>
      </w:tr>
      <w:tr w:rsidR="00AD4601" w:rsidRPr="00557A29" w14:paraId="0864E73A" w14:textId="77777777" w:rsidTr="00605C06">
        <w:trPr>
          <w:trHeight w:val="76"/>
        </w:trPr>
        <w:tc>
          <w:tcPr>
            <w:tcW w:w="601" w:type="dxa"/>
          </w:tcPr>
          <w:p w14:paraId="0FD8BAB7" w14:textId="77777777" w:rsidR="00AD4601" w:rsidRPr="00BC13F3" w:rsidRDefault="00AD4601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87FB615" w14:textId="5C8FC62C" w:rsidR="00AD4601" w:rsidRPr="00B67735" w:rsidRDefault="00AA3F2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</w:t>
            </w:r>
            <w:r w:rsidR="005F21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фікація персоналу</w:t>
            </w:r>
          </w:p>
        </w:tc>
        <w:tc>
          <w:tcPr>
            <w:tcW w:w="4521" w:type="dxa"/>
          </w:tcPr>
          <w:p w14:paraId="77CFE1DB" w14:textId="77777777" w:rsidR="00AD4601" w:rsidRDefault="00F114B4" w:rsidP="00EF061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Довідка в довільній формі про склад дослідницької команди</w:t>
            </w:r>
            <w:r w:rsidR="00716A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3228B5C8" w14:textId="77777777" w:rsidR="00716AA1" w:rsidRDefault="00514E6A" w:rsidP="00EF061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514E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аявність у складі дослідницької команди власних фахових спеціалістів, які мають досвід та спроможність розробляти методологію і дослідницькі інструменти, здійснювати аналіз даних у межах кількісних та якісних досліджень, а також організовувати й </w:t>
            </w:r>
            <w:proofErr w:type="spellStart"/>
            <w:r w:rsidRPr="00514E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модерувати</w:t>
            </w:r>
            <w:proofErr w:type="spellEnd"/>
            <w:r w:rsidRPr="00514E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фокус-групові дискусії та проводити глибинні експертні інтерв’ю, або підтвердження залучення фахового субпідрядника для виконання зазначених завдань.</w:t>
            </w:r>
          </w:p>
          <w:p w14:paraId="6BCF883B" w14:textId="77777777" w:rsidR="00A95EB6" w:rsidRDefault="00A95EB6" w:rsidP="00A95EB6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DEED41C" w14:textId="77777777" w:rsidR="002F628F" w:rsidRDefault="00434E38" w:rsidP="00426DF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uk-UA"/>
              </w:rPr>
            </w:pPr>
            <w:r w:rsidRPr="00426DF2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uk-UA"/>
              </w:rPr>
              <w:t>Підтвердити шляхом надання:</w:t>
            </w:r>
          </w:p>
          <w:p w14:paraId="66EA2945" w14:textId="77777777" w:rsidR="002F628F" w:rsidRDefault="002F628F" w:rsidP="00426DF2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iCs/>
                <w:lang w:val="uk-UA"/>
              </w:rPr>
            </w:pPr>
            <w:r w:rsidRPr="002F628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-</w:t>
            </w:r>
            <w:r w:rsidR="00434E38" w:rsidRPr="00426DF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434E38" w:rsidRPr="00426D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довідк</w:t>
            </w:r>
            <w:r w:rsidR="000B6529" w:rsidRPr="00426D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и</w:t>
            </w:r>
            <w:r w:rsidR="00434E38" w:rsidRPr="00426D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у довільній формі</w:t>
            </w:r>
            <w:r w:rsidR="00434E38" w:rsidRPr="00426DF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за підписом керівника учасника, що підтверджує наявність відповідних працівників у складі дослідницької команди;</w:t>
            </w:r>
            <w:r w:rsidR="000B6529" w:rsidRPr="00426DF2">
              <w:rPr>
                <w:rFonts w:ascii="Times New Roman" w:eastAsia="Times New Roman" w:hAnsi="Times New Roman" w:cs="Times New Roman"/>
                <w:i/>
                <w:iCs/>
                <w:lang w:val="uk-UA"/>
              </w:rPr>
              <w:t xml:space="preserve"> </w:t>
            </w:r>
          </w:p>
          <w:p w14:paraId="79154889" w14:textId="77777777" w:rsidR="002F628F" w:rsidRDefault="002F628F" w:rsidP="00426DF2">
            <w:pPr>
              <w:pStyle w:val="aa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- </w:t>
            </w:r>
            <w:r w:rsidR="000B6529" w:rsidRPr="00426DF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копії </w:t>
            </w:r>
            <w:r w:rsidR="000B6529" w:rsidRPr="00426D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резюме (CV)</w:t>
            </w:r>
            <w:r w:rsidR="000B6529" w:rsidRPr="00426DF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фахівців із зазначенням досвіду у проведенні кількісних і якісних досліджень (фокус-груп, глибинних інтерв’ю, аналітики тощо);</w:t>
            </w:r>
            <w:r w:rsidR="000B6529" w:rsidRPr="00426DF2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</w:p>
          <w:p w14:paraId="4C72C71A" w14:textId="2CAA86FD" w:rsidR="002F628F" w:rsidRDefault="002F628F" w:rsidP="00426DF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- </w:t>
            </w:r>
            <w:r w:rsidR="000B6529" w:rsidRPr="00426D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інформаційна довідка</w:t>
            </w:r>
            <w:r w:rsidR="000B6529" w:rsidRPr="00426DF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про субпідрядника із зазначенням досвіду проведення аналогічних досліджень</w:t>
            </w:r>
            <w:r w:rsidR="002B71F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(в разі залучення субпідрядника)</w:t>
            </w:r>
            <w:r w:rsidR="000B6529" w:rsidRPr="00426DF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; </w:t>
            </w:r>
          </w:p>
          <w:p w14:paraId="6AB8E22E" w14:textId="19A2247C" w:rsidR="000B6529" w:rsidRPr="000B6529" w:rsidRDefault="002F628F" w:rsidP="00426DF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-</w:t>
            </w:r>
            <w:r w:rsidR="002B71F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0B6529" w:rsidRPr="000B65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резюме ключових фахівців субпідрядника</w:t>
            </w:r>
            <w:r w:rsidR="000B6529" w:rsidRPr="000B652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(аналітиків, модераторів, дослідників).</w:t>
            </w:r>
          </w:p>
          <w:p w14:paraId="2678EE91" w14:textId="51C9F5FF" w:rsidR="00A95EB6" w:rsidRPr="00B67735" w:rsidRDefault="00A95EB6" w:rsidP="00A95EB6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2D7943A1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E0176F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lastRenderedPageBreak/>
        <w:t xml:space="preserve">Ціна пропозиції має бути </w:t>
      </w:r>
      <w:r w:rsidRPr="00E0176F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4FECC204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018D9CAB" w:rsidR="004E62DE" w:rsidRPr="007D5F0E" w:rsidRDefault="00E0176F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62DE" w:rsidRPr="00557A29">
        <w:rPr>
          <w:sz w:val="22"/>
          <w:szCs w:val="22"/>
          <w:lang w:val="uk-UA"/>
        </w:rPr>
        <w:t xml:space="preserve">Оплата здійснюється за системою </w:t>
      </w:r>
      <w:r w:rsidR="004E62DE">
        <w:rPr>
          <w:sz w:val="22"/>
          <w:szCs w:val="22"/>
          <w:lang w:val="uk-UA"/>
        </w:rPr>
        <w:t>100% післяплати</w:t>
      </w:r>
      <w:r w:rsidR="004E62DE" w:rsidRPr="00557A29">
        <w:rPr>
          <w:sz w:val="22"/>
          <w:szCs w:val="22"/>
          <w:lang w:val="uk-UA"/>
        </w:rPr>
        <w:t xml:space="preserve"> протягом </w:t>
      </w:r>
      <w:r w:rsidR="004E62DE">
        <w:rPr>
          <w:sz w:val="22"/>
          <w:szCs w:val="22"/>
          <w:lang w:val="uk-UA"/>
        </w:rPr>
        <w:t>5</w:t>
      </w:r>
      <w:r w:rsidR="004E62DE" w:rsidRPr="00557A29">
        <w:rPr>
          <w:sz w:val="22"/>
          <w:szCs w:val="22"/>
          <w:lang w:val="uk-UA"/>
        </w:rPr>
        <w:t>-</w:t>
      </w:r>
      <w:r w:rsidR="004E62DE">
        <w:rPr>
          <w:sz w:val="22"/>
          <w:szCs w:val="22"/>
          <w:lang w:val="uk-UA"/>
        </w:rPr>
        <w:t>ти</w:t>
      </w:r>
      <w:r w:rsidR="004E62DE" w:rsidRPr="00557A29">
        <w:rPr>
          <w:sz w:val="22"/>
          <w:szCs w:val="22"/>
          <w:lang w:val="uk-UA"/>
        </w:rPr>
        <w:t xml:space="preserve"> </w:t>
      </w:r>
      <w:r w:rsidR="004E62DE">
        <w:rPr>
          <w:sz w:val="22"/>
          <w:szCs w:val="22"/>
          <w:lang w:val="uk-UA"/>
        </w:rPr>
        <w:t>робочих</w:t>
      </w:r>
      <w:r w:rsidR="004E62DE" w:rsidRPr="00557A29">
        <w:rPr>
          <w:sz w:val="22"/>
          <w:szCs w:val="22"/>
          <w:lang w:val="uk-UA"/>
        </w:rPr>
        <w:t xml:space="preserve"> днів по факту завершення </w:t>
      </w:r>
      <w:r w:rsidRPr="005A4EC0">
        <w:rPr>
          <w:sz w:val="22"/>
          <w:szCs w:val="22"/>
          <w:lang w:val="uk-UA"/>
        </w:rPr>
        <w:t>кожного етапу</w:t>
      </w:r>
      <w:r>
        <w:rPr>
          <w:sz w:val="22"/>
          <w:szCs w:val="22"/>
          <w:lang w:val="uk-UA"/>
        </w:rPr>
        <w:t xml:space="preserve"> </w:t>
      </w:r>
      <w:r w:rsidR="004E62DE" w:rsidRPr="00557A29">
        <w:rPr>
          <w:sz w:val="22"/>
          <w:szCs w:val="22"/>
          <w:lang w:val="uk-UA"/>
        </w:rPr>
        <w:t xml:space="preserve">надання </w:t>
      </w:r>
      <w:r w:rsidR="004E62DE" w:rsidRPr="007D5F0E">
        <w:rPr>
          <w:sz w:val="22"/>
          <w:szCs w:val="22"/>
          <w:lang w:val="uk-UA"/>
        </w:rPr>
        <w:t>послуг та підпис</w:t>
      </w:r>
      <w:r w:rsidRPr="007D5F0E">
        <w:rPr>
          <w:sz w:val="22"/>
          <w:szCs w:val="22"/>
          <w:lang w:val="uk-UA"/>
        </w:rPr>
        <w:t>ання</w:t>
      </w:r>
      <w:r w:rsidR="004E62DE" w:rsidRPr="007D5F0E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Pr="007D5F0E">
        <w:rPr>
          <w:sz w:val="22"/>
          <w:szCs w:val="22"/>
          <w:lang w:val="uk-UA"/>
        </w:rPr>
        <w:t>№3</w:t>
      </w:r>
      <w:r w:rsidR="004E62DE" w:rsidRPr="007D5F0E">
        <w:rPr>
          <w:sz w:val="22"/>
          <w:szCs w:val="22"/>
          <w:lang w:val="uk-UA"/>
        </w:rPr>
        <w:t xml:space="preserve">. </w:t>
      </w:r>
      <w:r w:rsidR="004E62DE" w:rsidRPr="007D5F0E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54FE3ECA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7D5F0E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7D5F0E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7D5F0E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7D5F0E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7D5F0E">
        <w:rPr>
          <w:color w:val="000000"/>
          <w:sz w:val="22"/>
          <w:szCs w:val="22"/>
          <w:lang w:val="uk-UA" w:eastAsia="uk-UA"/>
        </w:rPr>
        <w:t>а</w:t>
      </w:r>
      <w:r w:rsidR="005A5F8A" w:rsidRPr="007D5F0E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7D5F0E">
        <w:rPr>
          <w:color w:val="000000"/>
          <w:sz w:val="22"/>
          <w:szCs w:val="22"/>
          <w:lang w:val="uk-UA" w:eastAsia="uk-UA"/>
        </w:rPr>
        <w:t>го</w:t>
      </w:r>
      <w:r w:rsidR="005A5F8A" w:rsidRPr="007D5F0E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7D5F0E">
        <w:rPr>
          <w:color w:val="000000"/>
          <w:sz w:val="22"/>
          <w:szCs w:val="22"/>
          <w:lang w:val="uk-UA" w:eastAsia="uk-UA"/>
        </w:rPr>
        <w:t>я</w:t>
      </w:r>
      <w:r w:rsidR="005A5F8A" w:rsidRPr="007D5F0E">
        <w:rPr>
          <w:color w:val="000000"/>
          <w:sz w:val="22"/>
          <w:szCs w:val="22"/>
          <w:lang w:val="uk-UA" w:eastAsia="uk-UA"/>
        </w:rPr>
        <w:t xml:space="preserve"> (Додаток </w:t>
      </w:r>
      <w:r w:rsidR="00E0176F" w:rsidRPr="007D5F0E">
        <w:rPr>
          <w:color w:val="000000"/>
          <w:sz w:val="22"/>
          <w:szCs w:val="22"/>
          <w:lang w:val="uk-UA" w:eastAsia="uk-UA"/>
        </w:rPr>
        <w:t>№2</w:t>
      </w:r>
      <w:r w:rsidR="005A5F8A" w:rsidRPr="007D5F0E">
        <w:rPr>
          <w:color w:val="000000"/>
          <w:sz w:val="22"/>
          <w:szCs w:val="22"/>
          <w:lang w:val="uk-UA" w:eastAsia="uk-UA"/>
        </w:rPr>
        <w:t>),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0D1712E7" w:rsidR="00846839" w:rsidRPr="008D7669" w:rsidRDefault="00E0176F" w:rsidP="008D7669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942635"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515470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</w:t>
      </w:r>
      <w:r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аркуш у формі Додатку </w:t>
      </w:r>
      <w:r w:rsidR="007654D9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51547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39D5352" w14:textId="1B743F16" w:rsidR="00E0176F" w:rsidRPr="00515470" w:rsidRDefault="00A4036A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Підтвердження відповідності пропозиції </w:t>
      </w:r>
      <w:r w:rsidR="00515470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та спроможності виконання робіт / надання послуг відповідно вимог поточного технічного завдання </w:t>
      </w:r>
      <w:r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>у формі підписаного Додатку №2</w:t>
      </w:r>
      <w:r w:rsidR="00515470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6B6451CA" w14:textId="53E99490" w:rsidR="00E550F7" w:rsidRPr="00515470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E0176F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1547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515470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515470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51547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51547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51547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21FC596" w:rsidR="007545FF" w:rsidRPr="0031068F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1068F">
        <w:rPr>
          <w:sz w:val="22"/>
          <w:szCs w:val="22"/>
          <w:lang w:val="uk-UA"/>
        </w:rPr>
        <w:t xml:space="preserve">Запитання щодо </w:t>
      </w:r>
      <w:r w:rsidR="00B93C90" w:rsidRPr="0031068F">
        <w:rPr>
          <w:sz w:val="22"/>
          <w:szCs w:val="22"/>
          <w:lang w:val="uk-UA"/>
        </w:rPr>
        <w:t xml:space="preserve">цінової </w:t>
      </w:r>
      <w:r w:rsidRPr="0031068F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1068F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1068F">
        <w:rPr>
          <w:sz w:val="22"/>
          <w:szCs w:val="22"/>
          <w:lang w:val="uk-UA"/>
        </w:rPr>
        <w:t xml:space="preserve"> до 18:00 </w:t>
      </w:r>
      <w:r w:rsidR="002C36E5" w:rsidRPr="0031068F">
        <w:rPr>
          <w:sz w:val="22"/>
          <w:szCs w:val="22"/>
          <w:lang w:val="uk-UA"/>
        </w:rPr>
        <w:t>27</w:t>
      </w:r>
      <w:r w:rsidRPr="0031068F">
        <w:rPr>
          <w:sz w:val="22"/>
          <w:szCs w:val="22"/>
          <w:lang w:val="uk-UA"/>
        </w:rPr>
        <w:t>.</w:t>
      </w:r>
      <w:r w:rsidR="002C36E5" w:rsidRPr="0031068F">
        <w:rPr>
          <w:sz w:val="22"/>
          <w:szCs w:val="22"/>
          <w:lang w:val="uk-UA"/>
        </w:rPr>
        <w:t>10</w:t>
      </w:r>
      <w:r w:rsidRPr="0031068F">
        <w:rPr>
          <w:sz w:val="22"/>
          <w:szCs w:val="22"/>
          <w:lang w:val="uk-UA"/>
        </w:rPr>
        <w:t>.202</w:t>
      </w:r>
      <w:r w:rsidR="002C36E5" w:rsidRPr="0031068F">
        <w:rPr>
          <w:sz w:val="22"/>
          <w:szCs w:val="22"/>
          <w:lang w:val="uk-UA"/>
        </w:rPr>
        <w:t>5</w:t>
      </w:r>
      <w:r w:rsidRPr="0031068F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31068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1068F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1068F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1068F">
        <w:rPr>
          <w:b/>
          <w:sz w:val="22"/>
          <w:szCs w:val="22"/>
          <w:lang w:val="uk-UA"/>
        </w:rPr>
        <w:t>ЦІНОВИХ</w:t>
      </w:r>
      <w:r w:rsidRPr="0031068F">
        <w:rPr>
          <w:b/>
          <w:sz w:val="22"/>
          <w:szCs w:val="22"/>
          <w:lang w:val="uk-UA"/>
        </w:rPr>
        <w:t xml:space="preserve"> ПРОПОЗИЦІЙ</w:t>
      </w:r>
      <w:r w:rsidRPr="0031068F">
        <w:rPr>
          <w:sz w:val="22"/>
          <w:szCs w:val="22"/>
          <w:lang w:val="uk-UA"/>
        </w:rPr>
        <w:t xml:space="preserve"> від учасників: </w:t>
      </w:r>
    </w:p>
    <w:p w14:paraId="3E886E94" w14:textId="5E295DD3" w:rsidR="00AD6D3B" w:rsidRPr="0031068F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1068F">
        <w:rPr>
          <w:b/>
          <w:color w:val="FF0000"/>
          <w:sz w:val="22"/>
          <w:szCs w:val="22"/>
          <w:lang w:val="uk-UA"/>
        </w:rPr>
        <w:t xml:space="preserve"> </w:t>
      </w:r>
      <w:r w:rsidRPr="0031068F">
        <w:rPr>
          <w:b/>
          <w:sz w:val="22"/>
          <w:szCs w:val="22"/>
          <w:lang w:val="uk-UA"/>
        </w:rPr>
        <w:t>«</w:t>
      </w:r>
      <w:r w:rsidR="002C36E5" w:rsidRPr="0031068F">
        <w:rPr>
          <w:b/>
          <w:sz w:val="22"/>
          <w:szCs w:val="22"/>
          <w:lang w:val="uk-UA"/>
        </w:rPr>
        <w:t>28</w:t>
      </w:r>
      <w:r w:rsidRPr="0031068F">
        <w:rPr>
          <w:b/>
          <w:sz w:val="22"/>
          <w:szCs w:val="22"/>
          <w:lang w:val="uk-UA"/>
        </w:rPr>
        <w:t xml:space="preserve">» </w:t>
      </w:r>
      <w:r w:rsidR="002C36E5" w:rsidRPr="0031068F">
        <w:rPr>
          <w:b/>
          <w:sz w:val="22"/>
          <w:szCs w:val="22"/>
          <w:lang w:val="uk-UA"/>
        </w:rPr>
        <w:t xml:space="preserve">жовтня </w:t>
      </w:r>
      <w:r w:rsidRPr="0031068F">
        <w:rPr>
          <w:b/>
          <w:sz w:val="22"/>
          <w:szCs w:val="22"/>
          <w:lang w:val="uk-UA"/>
        </w:rPr>
        <w:t>202</w:t>
      </w:r>
      <w:r w:rsidR="002C36E5" w:rsidRPr="0031068F">
        <w:rPr>
          <w:b/>
          <w:sz w:val="22"/>
          <w:szCs w:val="22"/>
          <w:lang w:val="uk-UA"/>
        </w:rPr>
        <w:t>5</w:t>
      </w:r>
      <w:r w:rsidRPr="0031068F">
        <w:rPr>
          <w:b/>
          <w:sz w:val="22"/>
          <w:szCs w:val="22"/>
          <w:lang w:val="uk-UA"/>
        </w:rPr>
        <w:t xml:space="preserve"> рок</w:t>
      </w:r>
      <w:r w:rsidR="00570092" w:rsidRPr="0031068F">
        <w:rPr>
          <w:b/>
          <w:sz w:val="22"/>
          <w:szCs w:val="22"/>
          <w:lang w:val="uk-UA"/>
        </w:rPr>
        <w:t>у</w:t>
      </w:r>
      <w:r w:rsidRPr="0031068F">
        <w:rPr>
          <w:b/>
          <w:sz w:val="22"/>
          <w:szCs w:val="22"/>
          <w:lang w:val="uk-UA"/>
        </w:rPr>
        <w:t>.</w:t>
      </w:r>
    </w:p>
    <w:p w14:paraId="13070A45" w14:textId="77777777" w:rsidR="00AD6D3B" w:rsidRPr="0031068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1068F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31068F">
        <w:rPr>
          <w:b/>
          <w:sz w:val="22"/>
          <w:szCs w:val="22"/>
          <w:u w:val="single"/>
          <w:lang w:val="uk-UA"/>
        </w:rPr>
        <w:t>ЦІНОВІ</w:t>
      </w:r>
      <w:r w:rsidR="00E27AFC" w:rsidRPr="0031068F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31068F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31068F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31068F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31068F" w:rsidRDefault="00E27AFC" w:rsidP="00E27AFC">
      <w:pPr>
        <w:ind w:firstLine="357"/>
        <w:jc w:val="both"/>
        <w:rPr>
          <w:sz w:val="22"/>
          <w:szCs w:val="22"/>
        </w:rPr>
      </w:pPr>
      <w:r w:rsidRPr="0031068F">
        <w:rPr>
          <w:b/>
          <w:bCs/>
          <w:iCs/>
          <w:sz w:val="22"/>
          <w:szCs w:val="22"/>
        </w:rPr>
        <w:t xml:space="preserve">РОЗКРИТТЯ </w:t>
      </w:r>
      <w:r w:rsidR="00345379" w:rsidRPr="0031068F">
        <w:rPr>
          <w:b/>
          <w:bCs/>
          <w:iCs/>
          <w:sz w:val="22"/>
          <w:szCs w:val="22"/>
          <w:lang w:val="uk-UA"/>
        </w:rPr>
        <w:t>ЦІНОВ</w:t>
      </w:r>
      <w:r w:rsidR="00D53B41" w:rsidRPr="0031068F">
        <w:rPr>
          <w:b/>
          <w:bCs/>
          <w:iCs/>
          <w:sz w:val="22"/>
          <w:szCs w:val="22"/>
          <w:lang w:val="uk-UA"/>
        </w:rPr>
        <w:t>ИХ</w:t>
      </w:r>
      <w:r w:rsidRPr="0031068F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31068F">
        <w:rPr>
          <w:sz w:val="22"/>
          <w:szCs w:val="22"/>
        </w:rPr>
        <w:t>:</w:t>
      </w:r>
    </w:p>
    <w:p w14:paraId="6AE3C48E" w14:textId="44DA304B" w:rsidR="00E27AFC" w:rsidRPr="002C36E5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1068F">
        <w:rPr>
          <w:sz w:val="22"/>
          <w:szCs w:val="22"/>
        </w:rPr>
        <w:t xml:space="preserve"> </w:t>
      </w:r>
      <w:r w:rsidRPr="0031068F">
        <w:rPr>
          <w:b/>
          <w:sz w:val="22"/>
          <w:szCs w:val="22"/>
        </w:rPr>
        <w:t>«</w:t>
      </w:r>
      <w:r w:rsidR="002C36E5" w:rsidRPr="0031068F">
        <w:rPr>
          <w:b/>
          <w:sz w:val="22"/>
          <w:szCs w:val="22"/>
          <w:lang w:val="uk-UA"/>
        </w:rPr>
        <w:t>29</w:t>
      </w:r>
      <w:r w:rsidRPr="0031068F">
        <w:rPr>
          <w:b/>
          <w:sz w:val="22"/>
          <w:szCs w:val="22"/>
        </w:rPr>
        <w:t xml:space="preserve">» </w:t>
      </w:r>
      <w:r w:rsidR="002C36E5" w:rsidRPr="0031068F">
        <w:rPr>
          <w:b/>
          <w:sz w:val="22"/>
          <w:szCs w:val="22"/>
          <w:lang w:val="uk-UA"/>
        </w:rPr>
        <w:t>жовтня</w:t>
      </w:r>
      <w:r w:rsidRPr="0031068F">
        <w:rPr>
          <w:b/>
          <w:sz w:val="22"/>
          <w:szCs w:val="22"/>
        </w:rPr>
        <w:t xml:space="preserve"> 202</w:t>
      </w:r>
      <w:r w:rsidR="002C36E5" w:rsidRPr="0031068F">
        <w:rPr>
          <w:b/>
          <w:sz w:val="22"/>
          <w:szCs w:val="22"/>
          <w:lang w:val="uk-UA"/>
        </w:rPr>
        <w:t>5</w:t>
      </w:r>
      <w:r w:rsidRPr="0031068F">
        <w:rPr>
          <w:b/>
          <w:sz w:val="22"/>
          <w:szCs w:val="22"/>
        </w:rPr>
        <w:t xml:space="preserve"> </w:t>
      </w:r>
      <w:proofErr w:type="gramStart"/>
      <w:r w:rsidRPr="0031068F">
        <w:rPr>
          <w:b/>
          <w:sz w:val="22"/>
          <w:szCs w:val="22"/>
        </w:rPr>
        <w:t>року</w:t>
      </w:r>
      <w:r w:rsidRPr="0031068F">
        <w:rPr>
          <w:sz w:val="22"/>
          <w:szCs w:val="22"/>
        </w:rPr>
        <w:t xml:space="preserve">  об</w:t>
      </w:r>
      <w:proofErr w:type="gramEnd"/>
      <w:r w:rsidRPr="0031068F">
        <w:rPr>
          <w:sz w:val="22"/>
          <w:szCs w:val="22"/>
        </w:rPr>
        <w:t xml:space="preserve"> 11 </w:t>
      </w:r>
      <w:r w:rsidRPr="0031068F">
        <w:rPr>
          <w:sz w:val="22"/>
          <w:szCs w:val="22"/>
          <w:lang w:val="uk-UA"/>
        </w:rPr>
        <w:t xml:space="preserve">год. 00 хв., за </w:t>
      </w:r>
      <w:proofErr w:type="spellStart"/>
      <w:r w:rsidRPr="0031068F">
        <w:rPr>
          <w:sz w:val="22"/>
          <w:szCs w:val="22"/>
          <w:lang w:val="uk-UA"/>
        </w:rPr>
        <w:t>адресою</w:t>
      </w:r>
      <w:proofErr w:type="spellEnd"/>
      <w:r w:rsidRPr="0031068F">
        <w:rPr>
          <w:sz w:val="22"/>
          <w:szCs w:val="22"/>
          <w:lang w:val="uk-UA"/>
        </w:rPr>
        <w:t>:  м. Київ, 03150, вул. Ділова, буд. 3 (якщо інше не буде передбачено внутрішнім розкладом).</w:t>
      </w:r>
    </w:p>
    <w:p w14:paraId="76F318A2" w14:textId="77777777" w:rsidR="00B441D4" w:rsidRPr="002C36E5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2C36E5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2C36E5">
          <w:rPr>
            <w:rStyle w:val="ab"/>
            <w:sz w:val="22"/>
            <w:szCs w:val="22"/>
            <w:lang w:val="uk-UA"/>
          </w:rPr>
          <w:t>tender@redcross.org.ua</w:t>
        </w:r>
      </w:hyperlink>
      <w:r w:rsidRPr="002C36E5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2C36E5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</w:t>
      </w:r>
      <w:r w:rsidR="0007172A" w:rsidRPr="0007172A">
        <w:rPr>
          <w:sz w:val="22"/>
          <w:szCs w:val="22"/>
          <w:lang w:val="uk-UA"/>
        </w:rPr>
        <w:t xml:space="preserve">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2C36E5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2C36E5">
        <w:rPr>
          <w:b/>
          <w:sz w:val="22"/>
          <w:szCs w:val="22"/>
          <w:lang w:val="uk-UA"/>
        </w:rPr>
        <w:t xml:space="preserve">Правила подання та оформлення </w:t>
      </w:r>
      <w:r w:rsidR="00E37FCD" w:rsidRPr="002C36E5">
        <w:rPr>
          <w:b/>
          <w:sz w:val="22"/>
          <w:szCs w:val="22"/>
          <w:lang w:val="uk-UA"/>
        </w:rPr>
        <w:t>цінової</w:t>
      </w:r>
      <w:r w:rsidRPr="002C36E5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2C36E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C36E5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2C36E5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2C36E5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2C36E5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2C36E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C36E5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2C36E5">
        <w:rPr>
          <w:noProof/>
          <w:sz w:val="22"/>
          <w:szCs w:val="22"/>
          <w:lang w:val="uk-UA"/>
        </w:rPr>
        <w:t>Цінова</w:t>
      </w:r>
      <w:r w:rsidRPr="002C36E5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2C36E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2C36E5">
        <w:rPr>
          <w:noProof/>
          <w:sz w:val="22"/>
          <w:szCs w:val="22"/>
          <w:lang w:val="uk-UA"/>
        </w:rPr>
        <w:lastRenderedPageBreak/>
        <w:t xml:space="preserve"> Всі копії будь-яких документів, що включаються в </w:t>
      </w:r>
      <w:r w:rsidR="00E37FCD" w:rsidRPr="002C36E5">
        <w:rPr>
          <w:noProof/>
          <w:sz w:val="22"/>
          <w:szCs w:val="22"/>
          <w:lang w:val="uk-UA"/>
        </w:rPr>
        <w:t>цінову</w:t>
      </w:r>
      <w:r w:rsidRPr="002C36E5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2C36E5">
        <w:rPr>
          <w:noProof/>
          <w:sz w:val="22"/>
          <w:szCs w:val="22"/>
          <w:lang w:val="uk-UA"/>
        </w:rPr>
        <w:t>і</w:t>
      </w:r>
      <w:r w:rsidRPr="002C36E5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2C36E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C36E5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2C36E5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2C36E5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2C36E5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2C36E5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C36E5">
        <w:rPr>
          <w:noProof/>
          <w:sz w:val="22"/>
          <w:szCs w:val="22"/>
          <w:lang w:val="uk-UA"/>
        </w:rPr>
        <w:t>Відповідальність за достовірність надан</w:t>
      </w:r>
      <w:r w:rsidRPr="00AD7DCC">
        <w:rPr>
          <w:noProof/>
          <w:sz w:val="22"/>
          <w:szCs w:val="22"/>
          <w:lang w:val="uk-UA"/>
        </w:rPr>
        <w:t xml:space="preserve">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C8DF240" w:rsidR="00E27AFC" w:rsidRPr="005D3E5A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5D3E5A">
        <w:rPr>
          <w:noProof/>
          <w:color w:val="000000" w:themeColor="text1"/>
          <w:sz w:val="22"/>
          <w:szCs w:val="22"/>
          <w:lang w:val="uk-UA"/>
        </w:rPr>
        <w:t>:</w:t>
      </w:r>
      <w:r w:rsidR="00A226D7" w:rsidRPr="005D3E5A">
        <w:rPr>
          <w:noProof/>
          <w:color w:val="000000" w:themeColor="text1"/>
          <w:sz w:val="22"/>
          <w:szCs w:val="22"/>
          <w:lang w:val="uk-UA"/>
        </w:rPr>
        <w:t xml:space="preserve"> </w:t>
      </w:r>
      <w:r w:rsidRPr="005D3E5A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5D3E5A" w:rsidRPr="005D3E5A">
        <w:rPr>
          <w:b/>
          <w:bCs/>
          <w:color w:val="000000" w:themeColor="text1"/>
          <w:sz w:val="22"/>
          <w:szCs w:val="22"/>
          <w:lang w:val="uk-UA"/>
        </w:rPr>
        <w:t>2325-2326ОК</w:t>
      </w:r>
      <w:r w:rsidRPr="005D3E5A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5D3E5A" w:rsidRPr="005D3E5A">
        <w:rPr>
          <w:b/>
          <w:noProof/>
          <w:color w:val="000000" w:themeColor="text1"/>
          <w:sz w:val="22"/>
          <w:szCs w:val="22"/>
          <w:lang w:val="uk-UA"/>
        </w:rPr>
        <w:t>Дослідження сприйняття населення діяльності ТЧХУ</w:t>
      </w:r>
      <w:r w:rsidRPr="005D3E5A">
        <w:rPr>
          <w:b/>
          <w:bCs/>
          <w:noProof/>
          <w:color w:val="000000" w:themeColor="text1"/>
          <w:lang w:val="uk-UA"/>
        </w:rPr>
        <w:t>.</w:t>
      </w:r>
      <w:r w:rsidRPr="005D3E5A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5C934BE1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="005D3E5A" w:rsidRPr="005D3E5A">
        <w:rPr>
          <w:b/>
          <w:bCs/>
          <w:color w:val="000000" w:themeColor="text1"/>
          <w:sz w:val="22"/>
          <w:szCs w:val="22"/>
          <w:lang w:val="uk-UA"/>
        </w:rPr>
        <w:t>2325-2326ОК</w:t>
      </w:r>
      <w:r w:rsidR="005D3E5A" w:rsidRPr="005D3E5A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="005D3E5A"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="005D3E5A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5D3E5A" w:rsidRPr="005D3E5A">
        <w:rPr>
          <w:b/>
          <w:noProof/>
          <w:color w:val="000000" w:themeColor="text1"/>
          <w:sz w:val="22"/>
          <w:szCs w:val="22"/>
          <w:lang w:val="uk-UA"/>
        </w:rPr>
        <w:t>Дослідження сприйняття населення діяльності ТЧХУ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67CAD7BC" w14:textId="77777777" w:rsidR="0031068F" w:rsidRPr="00557A29" w:rsidRDefault="0031068F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96C17F5" w14:textId="36846EF1" w:rsidR="0039580B" w:rsidRPr="00413191" w:rsidRDefault="0039580B" w:rsidP="00413191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7C11CA32" w:rsidR="00D52CFF" w:rsidRPr="00D52CFF" w:rsidRDefault="00A6690A" w:rsidP="004D51C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D58237A" w14:textId="506193D7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131"/>
        <w:gridCol w:w="3667"/>
        <w:gridCol w:w="1578"/>
      </w:tblGrid>
      <w:tr w:rsidR="00B36636" w:rsidRPr="004805DD" w14:paraId="0B94A0B9" w14:textId="77777777" w:rsidTr="007347DD">
        <w:tc>
          <w:tcPr>
            <w:tcW w:w="434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131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245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7347DD">
        <w:tc>
          <w:tcPr>
            <w:tcW w:w="434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131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667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7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7347DD">
        <w:trPr>
          <w:trHeight w:val="77"/>
        </w:trPr>
        <w:tc>
          <w:tcPr>
            <w:tcW w:w="434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131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245" w:type="dxa"/>
            <w:gridSpan w:val="2"/>
          </w:tcPr>
          <w:p w14:paraId="3AD3FD14" w14:textId="5E4578AF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8A56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B60A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B5D70A3" w14:textId="77777777" w:rsidTr="007347DD">
        <w:trPr>
          <w:trHeight w:val="450"/>
        </w:trPr>
        <w:tc>
          <w:tcPr>
            <w:tcW w:w="434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131" w:type="dxa"/>
            <w:vAlign w:val="center"/>
          </w:tcPr>
          <w:p w14:paraId="299E5821" w14:textId="77777777" w:rsidR="0027036E" w:rsidRPr="0027036E" w:rsidRDefault="008A5675" w:rsidP="0027036E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76283F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Попередній досвід учасника</w:t>
            </w:r>
            <w:r w:rsidRPr="008A56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: </w:t>
            </w:r>
            <w:r w:rsidR="0027036E" w:rsidRPr="0027036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Учасник повинен мати підтверджений досвід проведення </w:t>
            </w:r>
            <w:r w:rsidR="0027036E" w:rsidRPr="0027036E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загальнонаціональних кількісних та якісних досліджень</w:t>
            </w:r>
            <w:r w:rsidR="0027036E" w:rsidRPr="0027036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56D0AC80" w14:textId="5DAA9B95" w:rsidR="008A5675" w:rsidRPr="00CE2179" w:rsidRDefault="0027036E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  <w:lang w:val="uk-UA"/>
              </w:rPr>
            </w:pPr>
            <w:r w:rsidRPr="0027036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Підтвердження:</w:t>
            </w:r>
            <w:r w:rsidRPr="0027036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br/>
            </w:r>
            <w:r w:rsidRPr="0027036E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  <w:lang w:val="uk-UA"/>
              </w:rPr>
              <w:t>Досвід підтверджується шляхом надання копій договорів (або актів виконаних робіт), у яких зазначено предмет закупівлі / наданих послуг, що відповідає вимогам цього тендеру.</w:t>
            </w:r>
          </w:p>
        </w:tc>
        <w:tc>
          <w:tcPr>
            <w:tcW w:w="3667" w:type="dxa"/>
            <w:vAlign w:val="center"/>
          </w:tcPr>
          <w:p w14:paraId="13F84E5F" w14:textId="08C6A644" w:rsidR="005C73E8" w:rsidRPr="00E96882" w:rsidRDefault="0076283F" w:rsidP="0041319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-109" w:firstLine="28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</w:t>
            </w:r>
            <w:r w:rsidRPr="008A56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підтвердження проведення загальнонаціональних </w:t>
            </w:r>
            <w:r w:rsidRPr="004D51C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кількісних та якісних досліджень</w:t>
            </w:r>
            <w:r w:rsidRPr="00E96882"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  <w:lang w:val="uk-UA"/>
              </w:rPr>
              <w:t xml:space="preserve"> </w:t>
            </w:r>
            <w:r w:rsidR="005C73E8" w:rsidRPr="00E96882"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  <w:lang w:val="uk-UA"/>
              </w:rPr>
              <w:t xml:space="preserve">– </w:t>
            </w:r>
            <w:r w:rsidR="009D6328" w:rsidRPr="00AD112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10%</w:t>
            </w:r>
          </w:p>
          <w:p w14:paraId="37E34A09" w14:textId="06AA988B" w:rsidR="005C73E8" w:rsidRPr="00E96882" w:rsidRDefault="009D6328" w:rsidP="0041319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-109" w:firstLine="28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</w:t>
            </w:r>
            <w:r w:rsidRPr="008A56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підтвердження проведення загальнонаціональних </w:t>
            </w:r>
            <w:r w:rsidRPr="004D51C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лише кількісних або лише якісних</w:t>
            </w:r>
            <w:r w:rsidRPr="008A56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4D51C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досліджень</w:t>
            </w:r>
            <w:r w:rsidRPr="00E96882"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  <w:lang w:val="uk-UA"/>
              </w:rPr>
              <w:t xml:space="preserve"> </w:t>
            </w:r>
            <w:r w:rsidR="005C73E8" w:rsidRPr="00E96882"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  <w:lang w:val="uk-UA"/>
              </w:rPr>
              <w:t xml:space="preserve"> – </w:t>
            </w:r>
            <w:r w:rsidR="005C73E8" w:rsidRPr="00AD112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0</w:t>
            </w:r>
            <w:r w:rsidRPr="00AD112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 xml:space="preserve"> %</w:t>
            </w:r>
          </w:p>
          <w:p w14:paraId="0B162224" w14:textId="59AACD76" w:rsidR="00B36636" w:rsidRPr="004D12AF" w:rsidRDefault="00B36636" w:rsidP="00413191">
            <w:pPr>
              <w:pStyle w:val="aa"/>
              <w:spacing w:before="0" w:beforeAutospacing="0" w:after="0" w:afterAutospacing="0"/>
              <w:ind w:left="-109" w:firstLine="283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vAlign w:val="center"/>
          </w:tcPr>
          <w:p w14:paraId="6B287D57" w14:textId="309619EC" w:rsidR="00B36636" w:rsidRPr="004D12AF" w:rsidRDefault="008A5675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</w:t>
            </w:r>
            <w:r w:rsidR="0041319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74903CF6" w14:textId="77777777" w:rsidTr="007347DD">
        <w:trPr>
          <w:trHeight w:val="450"/>
        </w:trPr>
        <w:tc>
          <w:tcPr>
            <w:tcW w:w="434" w:type="dxa"/>
            <w:vAlign w:val="center"/>
          </w:tcPr>
          <w:p w14:paraId="1AB6E4C6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4131" w:type="dxa"/>
            <w:vAlign w:val="center"/>
          </w:tcPr>
          <w:p w14:paraId="4693D243" w14:textId="54E13789" w:rsidR="00CE2179" w:rsidRPr="00CE2179" w:rsidRDefault="00CE2179" w:rsidP="00CE217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E2179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Кадровий потенціал учасника.</w:t>
            </w:r>
            <w:r w:rsidRPr="00CE2179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br/>
              <w:t xml:space="preserve">Учасник повинен мати </w:t>
            </w:r>
            <w:r w:rsidRPr="00CE2179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 xml:space="preserve">власний </w:t>
            </w:r>
            <w:proofErr w:type="spellStart"/>
            <w:r w:rsidRPr="00CE2179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кол</w:t>
            </w:r>
            <w:proofErr w:type="spellEnd"/>
            <w:r w:rsidRPr="00CE2179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-центр для проведення телефонних опитувань</w:t>
            </w:r>
            <w:r w:rsidRPr="00CE2179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надати </w:t>
            </w:r>
            <w:r w:rsidRPr="00CE2179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підтвердження залучення фахового субпідрядника</w:t>
            </w:r>
            <w:r w:rsidRPr="00CE2179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який має відповідний ресурс для виконання таких робіт.</w:t>
            </w:r>
          </w:p>
          <w:p w14:paraId="7573454F" w14:textId="7E9FD83E" w:rsidR="00B36636" w:rsidRPr="00413191" w:rsidRDefault="00413191" w:rsidP="00413191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41319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Підтвердження наявності власного </w:t>
            </w:r>
            <w:proofErr w:type="spellStart"/>
            <w:r w:rsidRPr="0041319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кол</w:t>
            </w:r>
            <w:proofErr w:type="spellEnd"/>
            <w:r w:rsidRPr="0041319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-центру або залучення фахового субпідрядника надається у вигляді:</w:t>
            </w:r>
            <w:r w:rsidRPr="0041319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br/>
              <w:t>– довідки у довільній формі, підписаної керівником учасника;</w:t>
            </w:r>
            <w:r w:rsidRPr="0041319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br/>
              <w:t>– та/або копій документів, що підтверджують наявність власного ресурсу (штат, технічне обладнання, накази тощо);</w:t>
            </w:r>
            <w:r w:rsidRPr="0041319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br/>
              <w:t>– або копії договору / листа-гарантії від субпідрядника, який має відповідні ресурси для проведення телефонних опитувань.</w:t>
            </w:r>
          </w:p>
        </w:tc>
        <w:tc>
          <w:tcPr>
            <w:tcW w:w="3667" w:type="dxa"/>
            <w:vAlign w:val="center"/>
          </w:tcPr>
          <w:p w14:paraId="2B1828BB" w14:textId="5B54A547" w:rsidR="007C2C01" w:rsidRPr="007C2C01" w:rsidRDefault="007C2C01" w:rsidP="0041319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-109" w:firstLine="283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7C2C0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підтвердження наявності </w:t>
            </w:r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 xml:space="preserve">власного </w:t>
            </w:r>
            <w:proofErr w:type="spellStart"/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кол</w:t>
            </w:r>
            <w:proofErr w:type="spellEnd"/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-центру</w:t>
            </w:r>
            <w:r w:rsidRPr="007C2C0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</w:t>
            </w:r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фахового субпідрядника</w:t>
            </w:r>
            <w:r w:rsidRPr="007C2C0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для проведення телефонних опитувань — </w:t>
            </w:r>
            <w:r w:rsidR="00A572ED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10</w:t>
            </w:r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%</w:t>
            </w:r>
            <w:r w:rsidRPr="007C2C0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58DF5BA2" w14:textId="66E3636A" w:rsidR="007C2C01" w:rsidRPr="007C2C01" w:rsidRDefault="007C2C01" w:rsidP="0041319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-109" w:firstLine="283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7C2C0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Відсутнє підтвердження наявності </w:t>
            </w:r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 xml:space="preserve">власного </w:t>
            </w:r>
            <w:proofErr w:type="spellStart"/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кол</w:t>
            </w:r>
            <w:proofErr w:type="spellEnd"/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-центру</w:t>
            </w:r>
            <w:r w:rsidRPr="007C2C0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</w:t>
            </w:r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фахового субпідрядника</w:t>
            </w:r>
            <w:r w:rsidRPr="007C2C0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— </w:t>
            </w:r>
            <w:r w:rsidRPr="007C2C0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0%</w:t>
            </w:r>
            <w:r w:rsidRPr="007C2C0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6236EF8B" w14:textId="702BF542" w:rsidR="00B36636" w:rsidRPr="004D12AF" w:rsidRDefault="00B36636" w:rsidP="00413191">
            <w:pPr>
              <w:pStyle w:val="aa"/>
              <w:spacing w:before="0" w:beforeAutospacing="0" w:after="0" w:afterAutospacing="0"/>
              <w:ind w:left="-109" w:firstLine="283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vAlign w:val="center"/>
          </w:tcPr>
          <w:p w14:paraId="70908D79" w14:textId="33431C01" w:rsidR="00B36636" w:rsidRPr="004D12AF" w:rsidRDefault="00413191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10 %</w:t>
            </w:r>
          </w:p>
        </w:tc>
      </w:tr>
      <w:tr w:rsidR="00B36636" w:rsidRPr="004805DD" w14:paraId="044061FB" w14:textId="77777777" w:rsidTr="00413191">
        <w:tc>
          <w:tcPr>
            <w:tcW w:w="8232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78" w:type="dxa"/>
            <w:shd w:val="clear" w:color="auto" w:fill="D0CECE"/>
          </w:tcPr>
          <w:p w14:paraId="114AF908" w14:textId="3E0EB861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 w:rsidR="0041319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</w:t>
      </w:r>
      <w:r w:rsidRPr="00A160F6">
        <w:rPr>
          <w:bCs/>
          <w:spacing w:val="-4"/>
          <w:sz w:val="22"/>
          <w:szCs w:val="22"/>
          <w:lang w:val="uk-UA"/>
        </w:rPr>
        <w:lastRenderedPageBreak/>
        <w:t>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6F2BE2CF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413191">
        <w:rPr>
          <w:i/>
          <w:sz w:val="22"/>
          <w:szCs w:val="22"/>
          <w:lang w:val="uk-UA"/>
        </w:rPr>
        <w:t>Голова тендерного комітету</w:t>
      </w:r>
      <w:r w:rsidRPr="00413191">
        <w:rPr>
          <w:i/>
          <w:sz w:val="22"/>
          <w:szCs w:val="22"/>
          <w:lang w:val="uk-UA"/>
        </w:rPr>
        <w:tab/>
      </w:r>
      <w:r w:rsidRPr="00413191">
        <w:rPr>
          <w:i/>
          <w:sz w:val="22"/>
          <w:szCs w:val="22"/>
          <w:lang w:val="uk-UA"/>
        </w:rPr>
        <w:tab/>
      </w:r>
      <w:r w:rsidR="009E6AC7" w:rsidRPr="00413191">
        <w:rPr>
          <w:i/>
          <w:sz w:val="22"/>
          <w:szCs w:val="22"/>
          <w:lang w:val="uk-UA"/>
        </w:rPr>
        <w:t xml:space="preserve">                      </w:t>
      </w:r>
      <w:r w:rsidRPr="00413191">
        <w:rPr>
          <w:i/>
          <w:sz w:val="22"/>
          <w:szCs w:val="22"/>
          <w:lang w:val="uk-UA"/>
        </w:rPr>
        <w:tab/>
      </w:r>
      <w:r w:rsidR="00CC7D16" w:rsidRPr="00413191">
        <w:rPr>
          <w:i/>
          <w:sz w:val="22"/>
          <w:szCs w:val="22"/>
          <w:lang w:val="uk-UA"/>
        </w:rPr>
        <w:t xml:space="preserve">____________ </w:t>
      </w:r>
      <w:r w:rsidR="00413191" w:rsidRPr="00413191">
        <w:rPr>
          <w:i/>
          <w:sz w:val="22"/>
          <w:szCs w:val="22"/>
          <w:lang w:val="uk-UA"/>
        </w:rPr>
        <w:t xml:space="preserve">                          Р.І. </w:t>
      </w:r>
      <w:proofErr w:type="spellStart"/>
      <w:r w:rsidR="00413191" w:rsidRPr="00413191">
        <w:rPr>
          <w:i/>
          <w:sz w:val="22"/>
          <w:szCs w:val="22"/>
          <w:lang w:val="uk-UA"/>
        </w:rPr>
        <w:t>Ошовська</w:t>
      </w:r>
      <w:proofErr w:type="spellEnd"/>
    </w:p>
    <w:p w14:paraId="5325D91E" w14:textId="77777777" w:rsidR="00101BFD" w:rsidRDefault="00C33DF7" w:rsidP="00101BFD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35FA01DA" w:rsidR="000B129C" w:rsidRPr="00557A29" w:rsidRDefault="000B129C" w:rsidP="00101BFD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101BFD">
        <w:rPr>
          <w:b/>
          <w:bCs/>
          <w:sz w:val="22"/>
          <w:szCs w:val="22"/>
          <w:lang w:val="uk-UA"/>
        </w:rPr>
        <w:t xml:space="preserve">до </w:t>
      </w:r>
      <w:bookmarkEnd w:id="1"/>
      <w:r w:rsidR="00101BFD" w:rsidRPr="00101BFD">
        <w:rPr>
          <w:b/>
          <w:bCs/>
          <w:sz w:val="22"/>
          <w:szCs w:val="22"/>
          <w:lang w:val="uk-UA"/>
        </w:rPr>
        <w:t xml:space="preserve">Запиту </w:t>
      </w:r>
      <w:r w:rsidR="00101BFD" w:rsidRPr="00101BFD">
        <w:rPr>
          <w:b/>
          <w:bCs/>
          <w:color w:val="000000" w:themeColor="text1"/>
          <w:sz w:val="22"/>
          <w:szCs w:val="22"/>
          <w:lang w:val="uk-UA"/>
        </w:rPr>
        <w:t>2325-2326О</w:t>
      </w:r>
      <w:r w:rsidR="00101BFD" w:rsidRPr="005D3E5A">
        <w:rPr>
          <w:b/>
          <w:bCs/>
          <w:color w:val="000000" w:themeColor="text1"/>
          <w:sz w:val="22"/>
          <w:szCs w:val="22"/>
          <w:lang w:val="uk-UA"/>
        </w:rPr>
        <w:t>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64AE480F" w14:textId="7B44CC08" w:rsidR="00EA67E2" w:rsidRDefault="00EA67E2" w:rsidP="00101BFD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4EF65EC0" w14:textId="7677E224" w:rsidR="00101BFD" w:rsidRDefault="00101BFD" w:rsidP="00101BFD">
      <w:pPr>
        <w:ind w:left="142" w:firstLine="284"/>
        <w:jc w:val="right"/>
        <w:rPr>
          <w:sz w:val="22"/>
          <w:szCs w:val="22"/>
          <w:lang w:val="uk-UA" w:eastAsia="uk-UA"/>
        </w:rPr>
      </w:pPr>
      <w:r w:rsidRPr="00101BFD">
        <w:rPr>
          <w:b/>
          <w:bCs/>
          <w:sz w:val="22"/>
          <w:szCs w:val="22"/>
          <w:lang w:val="uk-UA"/>
        </w:rPr>
        <w:t xml:space="preserve">до Запиту </w:t>
      </w:r>
      <w:r w:rsidRPr="00101BFD">
        <w:rPr>
          <w:b/>
          <w:bCs/>
          <w:color w:val="000000" w:themeColor="text1"/>
          <w:sz w:val="22"/>
          <w:szCs w:val="22"/>
          <w:lang w:val="uk-UA"/>
        </w:rPr>
        <w:t>2325-2326О</w:t>
      </w:r>
      <w:r w:rsidRPr="005D3E5A">
        <w:rPr>
          <w:b/>
          <w:bCs/>
          <w:color w:val="000000" w:themeColor="text1"/>
          <w:sz w:val="22"/>
          <w:szCs w:val="22"/>
          <w:lang w:val="uk-UA"/>
        </w:rPr>
        <w:t>К</w:t>
      </w:r>
    </w:p>
    <w:p w14:paraId="15E8682C" w14:textId="42B1B1F7" w:rsidR="00EA67E2" w:rsidRDefault="00EA67E2" w:rsidP="00407051">
      <w:pPr>
        <w:ind w:left="540" w:firstLine="420"/>
        <w:textAlignment w:val="baseline"/>
        <w:rPr>
          <w:sz w:val="22"/>
          <w:szCs w:val="22"/>
          <w:lang w:val="uk-UA" w:eastAsia="uk-UA"/>
        </w:rPr>
      </w:pP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</w:p>
    <w:p w14:paraId="272E1950" w14:textId="060227FC" w:rsidR="006D16EC" w:rsidRPr="00C76EDE" w:rsidRDefault="00C76EDE" w:rsidP="00C76EDE">
      <w:pPr>
        <w:ind w:left="540" w:firstLine="420"/>
        <w:jc w:val="center"/>
        <w:textAlignment w:val="baseline"/>
        <w:rPr>
          <w:b/>
          <w:bCs/>
          <w:lang w:val="uk-UA" w:eastAsia="uk-UA"/>
        </w:rPr>
      </w:pPr>
      <w:r w:rsidRPr="00C76EDE">
        <w:rPr>
          <w:b/>
          <w:bCs/>
          <w:lang w:val="uk-UA" w:eastAsia="uk-UA"/>
        </w:rPr>
        <w:t>ТЕХНІЧНЕ ЗАВДАННЯ</w:t>
      </w:r>
    </w:p>
    <w:p w14:paraId="7F3AE179" w14:textId="77777777" w:rsidR="008308A5" w:rsidRDefault="008308A5" w:rsidP="00C76EDE">
      <w:pPr>
        <w:textAlignment w:val="baseline"/>
        <w:rPr>
          <w:sz w:val="22"/>
          <w:szCs w:val="22"/>
          <w:lang w:val="uk-UA" w:eastAsia="uk-UA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60"/>
        <w:gridCol w:w="1766"/>
        <w:gridCol w:w="7739"/>
      </w:tblGrid>
      <w:tr w:rsidR="004C4707" w:rsidRPr="001A6B73" w14:paraId="4C172F71" w14:textId="77777777" w:rsidTr="003A3409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DA272B4" w14:textId="263B2D87" w:rsidR="004C4707" w:rsidRPr="001A6B73" w:rsidRDefault="00A10322">
            <w:pPr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І. </w:t>
            </w:r>
            <w:r w:rsidR="004C4707" w:rsidRPr="001A6B73"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Предмет дослідження:</w:t>
            </w:r>
          </w:p>
        </w:tc>
      </w:tr>
      <w:tr w:rsidR="008308A5" w:rsidRPr="001A6B73" w14:paraId="4FB11351" w14:textId="77777777" w:rsidTr="00C65743">
        <w:trPr>
          <w:trHeight w:val="836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3E9E7" w14:textId="71AC9B66" w:rsidR="008308A5" w:rsidRPr="005F2188" w:rsidRDefault="008308A5" w:rsidP="00C65743">
            <w:pPr>
              <w:ind w:firstLine="3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5F2188">
              <w:rPr>
                <w:color w:val="000000"/>
                <w:sz w:val="22"/>
                <w:szCs w:val="22"/>
                <w:lang w:val="uk-UA"/>
              </w:rPr>
              <w:t xml:space="preserve">Сприйняття населенням України діяльності, іміджу та ролі Українського Червоного Хреста (ТЧХУ), а також розуміння </w:t>
            </w:r>
            <w:r w:rsidR="001A6B73" w:rsidRPr="005F2188">
              <w:rPr>
                <w:sz w:val="22"/>
                <w:szCs w:val="22"/>
                <w:lang w:val="uk-UA"/>
              </w:rPr>
              <w:t>відмінностей</w:t>
            </w:r>
            <w:r w:rsidRPr="005F2188">
              <w:rPr>
                <w:color w:val="000000"/>
                <w:sz w:val="22"/>
                <w:szCs w:val="22"/>
                <w:lang w:val="uk-UA"/>
              </w:rPr>
              <w:t xml:space="preserve"> між організаціями </w:t>
            </w:r>
            <w:proofErr w:type="spellStart"/>
            <w:r w:rsidRPr="005F2188">
              <w:rPr>
                <w:color w:val="000000"/>
                <w:sz w:val="22"/>
                <w:szCs w:val="22"/>
                <w:lang w:val="uk-UA"/>
              </w:rPr>
              <w:t>червонохресного</w:t>
            </w:r>
            <w:proofErr w:type="spellEnd"/>
            <w:r w:rsidRPr="005F2188">
              <w:rPr>
                <w:color w:val="000000"/>
                <w:sz w:val="22"/>
                <w:szCs w:val="22"/>
                <w:lang w:val="uk-UA"/>
              </w:rPr>
              <w:t xml:space="preserve"> руху.</w:t>
            </w:r>
          </w:p>
        </w:tc>
      </w:tr>
      <w:tr w:rsidR="00A10322" w:rsidRPr="001A6B73" w14:paraId="6F70E1D7" w14:textId="77777777" w:rsidTr="00780325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2353CF9" w14:textId="2508639B" w:rsidR="00A10322" w:rsidRPr="005F2188" w:rsidRDefault="00A10322" w:rsidP="00C6574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</w:pPr>
            <w:r w:rsidRPr="005F2188"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ІІ. Мета дослідження:</w:t>
            </w:r>
          </w:p>
        </w:tc>
      </w:tr>
      <w:tr w:rsidR="008308A5" w:rsidRPr="001A6B73" w14:paraId="60F91E78" w14:textId="77777777" w:rsidTr="00C65743">
        <w:trPr>
          <w:trHeight w:val="8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4D696" w14:textId="77777777" w:rsidR="008308A5" w:rsidRPr="001A6B73" w:rsidRDefault="008308A5" w:rsidP="00C65743">
            <w:pPr>
              <w:ind w:firstLine="3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Оцінити рівень обізнаності, довіри, залучення та сприйняття Українського Червоного Хреста серед населення, визначити сильні сторони, бар'єри у сприйнятті, а також фактори, що формують ставлення до організації.</w:t>
            </w:r>
          </w:p>
        </w:tc>
      </w:tr>
      <w:tr w:rsidR="008308A5" w:rsidRPr="001A6B73" w14:paraId="7AE6B4E5" w14:textId="77777777" w:rsidTr="003A3409">
        <w:trPr>
          <w:trHeight w:val="115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689C7D" w14:textId="77777777" w:rsidR="008308A5" w:rsidRDefault="008308A5" w:rsidP="00C65743">
            <w:pPr>
              <w:ind w:firstLine="3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D5DEC">
              <w:rPr>
                <w:b/>
                <w:bCs/>
                <w:color w:val="000000"/>
                <w:sz w:val="22"/>
                <w:szCs w:val="22"/>
                <w:lang w:val="uk-UA"/>
              </w:rPr>
              <w:t>Окремим завданням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дослідження є виявлення, чи розуміє населення різницю між організаціями </w:t>
            </w:r>
            <w:proofErr w:type="spellStart"/>
            <w:r w:rsidRPr="001A6B73">
              <w:rPr>
                <w:color w:val="000000"/>
                <w:sz w:val="22"/>
                <w:szCs w:val="22"/>
                <w:lang w:val="uk-UA"/>
              </w:rPr>
              <w:t>червонохресного</w:t>
            </w:r>
            <w:proofErr w:type="spellEnd"/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руху — Українським Червоним Хрестом (ТЧХУ), Міжнародним Комітетом Червоного Хреста (МКЧХ), Міжнародною Федерацією Червоного Хреста і Червоного Півмісяця (МФЧХ) та партнерськими національними товариствами.</w:t>
            </w:r>
          </w:p>
          <w:p w14:paraId="141395BB" w14:textId="77777777" w:rsidR="00BD5DEC" w:rsidRDefault="00BD5DEC" w:rsidP="00C65743">
            <w:pPr>
              <w:ind w:firstLine="313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686C37E2" w14:textId="7C620AFA" w:rsidR="005018A5" w:rsidRDefault="00A10322" w:rsidP="00C6574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ІІІ. </w:t>
            </w:r>
            <w:r w:rsidR="005018A5" w:rsidRPr="003A3409"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Соціологічне дослідження складається з наступних етапів:</w:t>
            </w:r>
          </w:p>
          <w:p w14:paraId="2B6D3C14" w14:textId="77777777" w:rsidR="003A3409" w:rsidRPr="003A3409" w:rsidRDefault="003A3409" w:rsidP="00C65743">
            <w:pPr>
              <w:ind w:firstLine="313"/>
              <w:jc w:val="both"/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</w:pPr>
          </w:p>
          <w:p w14:paraId="5012C399" w14:textId="2ACEFC5F" w:rsidR="005018A5" w:rsidRPr="001A6B73" w:rsidRDefault="005018A5" w:rsidP="00C65743">
            <w:pPr>
              <w:ind w:firstLine="313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8308A5" w:rsidRPr="001A6B73" w14:paraId="04E52F39" w14:textId="77777777" w:rsidTr="003A3409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7FB6C01B" w14:textId="77777777" w:rsidR="008308A5" w:rsidRPr="001A6B73" w:rsidRDefault="008308A5" w:rsidP="003A340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>№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20F4C306" w14:textId="0BF4C192" w:rsidR="008308A5" w:rsidRPr="001A6B73" w:rsidRDefault="005018A5" w:rsidP="003A340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Етапи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68EA705B" w14:textId="72C508F0" w:rsidR="008308A5" w:rsidRPr="001A6B73" w:rsidRDefault="003A3409" w:rsidP="003A340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Технічні характеристики та опис</w:t>
            </w:r>
          </w:p>
        </w:tc>
      </w:tr>
      <w:tr w:rsidR="008308A5" w:rsidRPr="00925EA8" w14:paraId="41B894E9" w14:textId="77777777" w:rsidTr="003A3409">
        <w:trPr>
          <w:trHeight w:val="96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16137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B6E12" w14:textId="77777777" w:rsidR="008308A5" w:rsidRPr="00952CD8" w:rsidRDefault="008308A5" w:rsidP="007116C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52CD8">
              <w:rPr>
                <w:b/>
                <w:bCs/>
                <w:color w:val="000000"/>
                <w:sz w:val="22"/>
                <w:szCs w:val="22"/>
                <w:lang w:val="uk-UA"/>
              </w:rPr>
              <w:t>Розробка дослідницьких інструментів</w:t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A8261" w14:textId="4A4D1CBA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Розроблен</w:t>
            </w:r>
            <w:r w:rsidR="00AC7D68">
              <w:rPr>
                <w:color w:val="000000"/>
                <w:sz w:val="22"/>
                <w:szCs w:val="22"/>
                <w:lang w:val="uk-UA"/>
              </w:rPr>
              <w:t>ня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протокол</w:t>
            </w:r>
            <w:r w:rsidR="00AC7D68">
              <w:rPr>
                <w:color w:val="000000"/>
                <w:sz w:val="22"/>
                <w:szCs w:val="22"/>
                <w:lang w:val="uk-UA"/>
              </w:rPr>
              <w:t>у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дослідження, анкет</w:t>
            </w:r>
            <w:r w:rsidR="00AC7D68">
              <w:rPr>
                <w:color w:val="000000"/>
                <w:sz w:val="22"/>
                <w:szCs w:val="22"/>
                <w:lang w:val="uk-UA"/>
              </w:rPr>
              <w:t>и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для кількісного опитування, </w:t>
            </w:r>
            <w:proofErr w:type="spellStart"/>
            <w:r w:rsidRPr="001A6B73">
              <w:rPr>
                <w:color w:val="000000"/>
                <w:sz w:val="22"/>
                <w:szCs w:val="22"/>
                <w:lang w:val="uk-UA"/>
              </w:rPr>
              <w:t>гайд</w:t>
            </w:r>
            <w:r w:rsidR="00952CD8">
              <w:rPr>
                <w:color w:val="000000"/>
                <w:sz w:val="22"/>
                <w:szCs w:val="22"/>
                <w:lang w:val="uk-UA"/>
              </w:rPr>
              <w:t>у</w:t>
            </w:r>
            <w:proofErr w:type="spellEnd"/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для фокус-групових дискусій (ФГД), </w:t>
            </w:r>
            <w:proofErr w:type="spellStart"/>
            <w:r w:rsidRPr="001A6B73">
              <w:rPr>
                <w:color w:val="000000"/>
                <w:sz w:val="22"/>
                <w:szCs w:val="22"/>
                <w:lang w:val="uk-UA"/>
              </w:rPr>
              <w:t>гайд</w:t>
            </w:r>
            <w:r w:rsidR="00952CD8">
              <w:rPr>
                <w:color w:val="000000"/>
                <w:sz w:val="22"/>
                <w:szCs w:val="22"/>
                <w:lang w:val="uk-UA"/>
              </w:rPr>
              <w:t>у</w:t>
            </w:r>
            <w:proofErr w:type="spellEnd"/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для глибинних інтерв’ю з експертами, форм</w:t>
            </w:r>
            <w:r w:rsidR="00AC7D68">
              <w:rPr>
                <w:color w:val="000000"/>
                <w:sz w:val="22"/>
                <w:szCs w:val="22"/>
                <w:lang w:val="uk-UA"/>
              </w:rPr>
              <w:t>и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інформованої згоди.</w:t>
            </w:r>
          </w:p>
        </w:tc>
      </w:tr>
      <w:tr w:rsidR="008308A5" w:rsidRPr="001A6B73" w14:paraId="4943E4CE" w14:textId="77777777" w:rsidTr="00C65743">
        <w:trPr>
          <w:trHeight w:val="17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58808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08F7E" w14:textId="77777777" w:rsidR="008308A5" w:rsidRPr="00952CD8" w:rsidRDefault="008308A5" w:rsidP="007116C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7DC6E3" w14:textId="403DC6A8" w:rsidR="008308A5" w:rsidRPr="008B4F3E" w:rsidRDefault="008308A5" w:rsidP="008B4F3E">
            <w:pPr>
              <w:pStyle w:val="af"/>
              <w:numPr>
                <w:ilvl w:val="0"/>
                <w:numId w:val="30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8B4F3E">
              <w:rPr>
                <w:color w:val="000000"/>
                <w:sz w:val="22"/>
                <w:szCs w:val="22"/>
                <w:lang w:val="uk-UA"/>
              </w:rPr>
              <w:t>Пакет дослідницьких документів узгодж</w:t>
            </w:r>
            <w:r w:rsidR="00035FFF" w:rsidRPr="008B4F3E">
              <w:rPr>
                <w:color w:val="000000"/>
                <w:sz w:val="22"/>
                <w:szCs w:val="22"/>
                <w:lang w:val="uk-UA"/>
              </w:rPr>
              <w:t>ується</w:t>
            </w:r>
            <w:r w:rsidRPr="008B4F3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35FFF" w:rsidRPr="008B4F3E">
              <w:rPr>
                <w:color w:val="000000"/>
                <w:sz w:val="22"/>
                <w:szCs w:val="22"/>
                <w:lang w:val="uk-UA"/>
              </w:rPr>
              <w:t>і</w:t>
            </w:r>
            <w:r w:rsidRPr="008B4F3E">
              <w:rPr>
                <w:color w:val="000000"/>
                <w:sz w:val="22"/>
                <w:szCs w:val="22"/>
                <w:lang w:val="uk-UA"/>
              </w:rPr>
              <w:t>з Замовником.</w:t>
            </w:r>
          </w:p>
        </w:tc>
      </w:tr>
      <w:tr w:rsidR="008308A5" w:rsidRPr="00925EA8" w14:paraId="3014960A" w14:textId="77777777" w:rsidTr="003A3409">
        <w:trPr>
          <w:trHeight w:val="75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93B8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8CE5D" w14:textId="77777777" w:rsidR="008308A5" w:rsidRPr="00952CD8" w:rsidRDefault="008308A5" w:rsidP="007116C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19B6D" w14:textId="61EA282F" w:rsidR="008308A5" w:rsidRPr="008B4F3E" w:rsidRDefault="008308A5" w:rsidP="008B4F3E">
            <w:pPr>
              <w:pStyle w:val="af"/>
              <w:numPr>
                <w:ilvl w:val="0"/>
                <w:numId w:val="30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8B4F3E">
              <w:rPr>
                <w:color w:val="000000"/>
                <w:sz w:val="22"/>
                <w:szCs w:val="22"/>
                <w:lang w:val="uk-UA"/>
              </w:rPr>
              <w:t>Інструменти мають містити блок питань, присвячений розумінню населенням відмінностей між ТЧХУ, МКЧХ та МФЧХ.</w:t>
            </w:r>
          </w:p>
        </w:tc>
      </w:tr>
      <w:tr w:rsidR="008308A5" w:rsidRPr="001A6B73" w14:paraId="547039D9" w14:textId="77777777" w:rsidTr="003A3409">
        <w:trPr>
          <w:trHeight w:val="91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CD7C6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E8E1C" w14:textId="77777777" w:rsidR="008308A5" w:rsidRPr="00952CD8" w:rsidRDefault="008308A5" w:rsidP="007116C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52CD8">
              <w:rPr>
                <w:b/>
                <w:bCs/>
                <w:color w:val="000000"/>
                <w:sz w:val="22"/>
                <w:szCs w:val="22"/>
                <w:lang w:val="uk-UA"/>
              </w:rPr>
              <w:t>Кількісне опитування населення</w:t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1EB771" w14:textId="762524D2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Проведен</w:t>
            </w:r>
            <w:r w:rsidR="007116CC">
              <w:rPr>
                <w:color w:val="000000"/>
                <w:sz w:val="22"/>
                <w:szCs w:val="22"/>
                <w:lang w:val="uk-UA"/>
              </w:rPr>
              <w:t>ня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репрезентативн</w:t>
            </w:r>
            <w:r w:rsidR="007116CC">
              <w:rPr>
                <w:color w:val="000000"/>
                <w:sz w:val="22"/>
                <w:szCs w:val="22"/>
                <w:lang w:val="uk-UA"/>
              </w:rPr>
              <w:t>ого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телефонн</w:t>
            </w:r>
            <w:r w:rsidR="007116CC">
              <w:rPr>
                <w:color w:val="000000"/>
                <w:sz w:val="22"/>
                <w:szCs w:val="22"/>
                <w:lang w:val="uk-UA"/>
              </w:rPr>
              <w:t>ого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опитування населення України (CATI) згідно з вибіркою у 2000 респондентів (стратифікація за віком, статтю, регіоном, типом населеного пункту).</w:t>
            </w:r>
          </w:p>
        </w:tc>
      </w:tr>
      <w:tr w:rsidR="008308A5" w:rsidRPr="001A6B73" w14:paraId="119E9C44" w14:textId="77777777" w:rsidTr="00C65743">
        <w:trPr>
          <w:trHeight w:val="307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824D4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9C18A" w14:textId="77777777" w:rsidR="008308A5" w:rsidRPr="001A6B73" w:rsidRDefault="008308A5" w:rsidP="007116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62B3F6" w14:textId="66CDA6D6" w:rsidR="008308A5" w:rsidRPr="008B4F3E" w:rsidRDefault="008308A5" w:rsidP="008B4F3E">
            <w:pPr>
              <w:pStyle w:val="af"/>
              <w:numPr>
                <w:ilvl w:val="0"/>
                <w:numId w:val="29"/>
              </w:numPr>
              <w:ind w:left="265" w:hanging="314"/>
              <w:rPr>
                <w:color w:val="000000"/>
                <w:sz w:val="22"/>
                <w:szCs w:val="22"/>
                <w:lang w:val="uk-UA"/>
              </w:rPr>
            </w:pPr>
            <w:r w:rsidRPr="008B4F3E">
              <w:rPr>
                <w:color w:val="000000"/>
                <w:sz w:val="22"/>
                <w:szCs w:val="22"/>
                <w:lang w:val="uk-UA"/>
              </w:rPr>
              <w:t>Середня тривалість одного інтерв’ю — до 20 хвилин.</w:t>
            </w:r>
          </w:p>
        </w:tc>
      </w:tr>
      <w:tr w:rsidR="008308A5" w:rsidRPr="001A6B73" w14:paraId="7FF7D0CF" w14:textId="77777777" w:rsidTr="00C65743">
        <w:trPr>
          <w:trHeight w:val="26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DA384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6A505" w14:textId="77777777" w:rsidR="008308A5" w:rsidRPr="001A6B73" w:rsidRDefault="008308A5" w:rsidP="007116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856EC9" w14:textId="6E7402B7" w:rsidR="008308A5" w:rsidRPr="008B4F3E" w:rsidRDefault="00600975" w:rsidP="008B4F3E">
            <w:pPr>
              <w:pStyle w:val="af"/>
              <w:numPr>
                <w:ilvl w:val="0"/>
                <w:numId w:val="29"/>
              </w:numPr>
              <w:ind w:left="265" w:hanging="314"/>
              <w:rPr>
                <w:color w:val="000000"/>
                <w:sz w:val="22"/>
                <w:szCs w:val="22"/>
                <w:lang w:val="uk-UA"/>
              </w:rPr>
            </w:pPr>
            <w:r w:rsidRPr="008B4F3E">
              <w:rPr>
                <w:color w:val="000000"/>
                <w:sz w:val="22"/>
                <w:szCs w:val="22"/>
                <w:lang w:val="uk-UA"/>
              </w:rPr>
              <w:t>Перевірка м</w:t>
            </w:r>
            <w:r w:rsidR="008308A5" w:rsidRPr="008B4F3E">
              <w:rPr>
                <w:color w:val="000000"/>
                <w:sz w:val="22"/>
                <w:szCs w:val="22"/>
                <w:lang w:val="uk-UA"/>
              </w:rPr>
              <w:t>асив</w:t>
            </w:r>
            <w:r w:rsidRPr="008B4F3E">
              <w:rPr>
                <w:color w:val="000000"/>
                <w:sz w:val="22"/>
                <w:szCs w:val="22"/>
                <w:lang w:val="uk-UA"/>
              </w:rPr>
              <w:t>у</w:t>
            </w:r>
            <w:r w:rsidR="008308A5" w:rsidRPr="008B4F3E">
              <w:rPr>
                <w:color w:val="000000"/>
                <w:sz w:val="22"/>
                <w:szCs w:val="22"/>
                <w:lang w:val="uk-UA"/>
              </w:rPr>
              <w:t xml:space="preserve"> даних, очищен</w:t>
            </w:r>
            <w:r w:rsidRPr="008B4F3E">
              <w:rPr>
                <w:color w:val="000000"/>
                <w:sz w:val="22"/>
                <w:szCs w:val="22"/>
                <w:lang w:val="uk-UA"/>
              </w:rPr>
              <w:t>ня</w:t>
            </w:r>
            <w:r w:rsidR="008308A5" w:rsidRPr="008B4F3E">
              <w:rPr>
                <w:color w:val="000000"/>
                <w:sz w:val="22"/>
                <w:szCs w:val="22"/>
                <w:lang w:val="uk-UA"/>
              </w:rPr>
              <w:t>, зважено та переда</w:t>
            </w:r>
            <w:r w:rsidRPr="008B4F3E">
              <w:rPr>
                <w:color w:val="000000"/>
                <w:sz w:val="22"/>
                <w:szCs w:val="22"/>
                <w:lang w:val="uk-UA"/>
              </w:rPr>
              <w:t>ча</w:t>
            </w:r>
            <w:r w:rsidR="008308A5" w:rsidRPr="008B4F3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8B4F3E">
              <w:rPr>
                <w:color w:val="000000"/>
                <w:sz w:val="22"/>
                <w:szCs w:val="22"/>
                <w:lang w:val="uk-UA"/>
              </w:rPr>
              <w:t>З</w:t>
            </w:r>
            <w:r w:rsidR="008308A5" w:rsidRPr="008B4F3E">
              <w:rPr>
                <w:color w:val="000000"/>
                <w:sz w:val="22"/>
                <w:szCs w:val="22"/>
                <w:lang w:val="uk-UA"/>
              </w:rPr>
              <w:t>амовнику.</w:t>
            </w:r>
          </w:p>
        </w:tc>
      </w:tr>
      <w:tr w:rsidR="008308A5" w:rsidRPr="001A6B73" w14:paraId="50ADE33B" w14:textId="77777777" w:rsidTr="0031068F">
        <w:trPr>
          <w:trHeight w:val="5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29374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FA588" w14:textId="77777777" w:rsidR="008308A5" w:rsidRPr="001A6B73" w:rsidRDefault="008308A5" w:rsidP="007116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6E0476" w14:textId="7399167F" w:rsidR="008308A5" w:rsidRPr="0031068F" w:rsidRDefault="008308A5" w:rsidP="008B4F3E">
            <w:pPr>
              <w:pStyle w:val="af"/>
              <w:numPr>
                <w:ilvl w:val="0"/>
                <w:numId w:val="29"/>
              </w:numPr>
              <w:ind w:left="265" w:hanging="314"/>
              <w:rPr>
                <w:color w:val="000000"/>
                <w:sz w:val="22"/>
                <w:szCs w:val="22"/>
                <w:lang w:val="uk-UA"/>
              </w:rPr>
            </w:pPr>
            <w:r w:rsidRPr="0031068F">
              <w:rPr>
                <w:color w:val="000000"/>
                <w:sz w:val="22"/>
                <w:szCs w:val="22"/>
                <w:lang w:val="uk-UA"/>
              </w:rPr>
              <w:t>Підготов</w:t>
            </w:r>
            <w:r w:rsidR="00600975" w:rsidRPr="0031068F">
              <w:rPr>
                <w:color w:val="000000"/>
                <w:sz w:val="22"/>
                <w:szCs w:val="22"/>
                <w:lang w:val="uk-UA"/>
              </w:rPr>
              <w:t>ка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 таблиці одновимірного та двовимірного розподілу результатів, переда</w:t>
            </w:r>
            <w:r w:rsidR="00600975" w:rsidRPr="0031068F">
              <w:rPr>
                <w:color w:val="000000"/>
                <w:sz w:val="22"/>
                <w:szCs w:val="22"/>
                <w:lang w:val="uk-UA"/>
              </w:rPr>
              <w:t>ча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600975" w:rsidRPr="0031068F">
              <w:rPr>
                <w:color w:val="000000"/>
                <w:sz w:val="22"/>
                <w:szCs w:val="22"/>
                <w:lang w:val="uk-UA"/>
              </w:rPr>
              <w:t>З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>амовнику.</w:t>
            </w:r>
          </w:p>
        </w:tc>
      </w:tr>
      <w:tr w:rsidR="008308A5" w:rsidRPr="001A6B73" w14:paraId="1A8E6803" w14:textId="77777777" w:rsidTr="00C65743">
        <w:trPr>
          <w:trHeight w:val="592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32966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7F529" w14:textId="77777777" w:rsidR="008308A5" w:rsidRPr="001A6B73" w:rsidRDefault="008308A5" w:rsidP="007116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50E32" w14:textId="082069AF" w:rsidR="008308A5" w:rsidRPr="0031068F" w:rsidRDefault="008308A5" w:rsidP="008B4F3E">
            <w:pPr>
              <w:pStyle w:val="af"/>
              <w:numPr>
                <w:ilvl w:val="0"/>
                <w:numId w:val="29"/>
              </w:numPr>
              <w:ind w:left="265" w:hanging="314"/>
              <w:rPr>
                <w:color w:val="000000"/>
                <w:sz w:val="22"/>
                <w:szCs w:val="22"/>
                <w:lang w:val="uk-UA"/>
              </w:rPr>
            </w:pP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Дані мають включати оцінку рівня знань про структуру та функції </w:t>
            </w:r>
            <w:r w:rsidR="00A164EB" w:rsidRPr="0031068F">
              <w:rPr>
                <w:color w:val="000000"/>
                <w:sz w:val="22"/>
                <w:szCs w:val="22"/>
                <w:lang w:val="uk-UA"/>
              </w:rPr>
              <w:t>організацій, що входять до складу Руху Червоного Хреста та Червоного Півмісяця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8308A5" w:rsidRPr="00925EA8" w14:paraId="633B36FE" w14:textId="77777777" w:rsidTr="003A3409">
        <w:trPr>
          <w:trHeight w:val="87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8F861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D9167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52CD8">
              <w:rPr>
                <w:b/>
                <w:bCs/>
                <w:color w:val="000000"/>
                <w:sz w:val="22"/>
                <w:szCs w:val="22"/>
                <w:lang w:val="uk-UA"/>
              </w:rPr>
              <w:t>Фокус-групові дискусії з населенням</w:t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E01966" w14:textId="44C905F4" w:rsidR="008308A5" w:rsidRPr="0031068F" w:rsidRDefault="008308A5">
            <w:pPr>
              <w:rPr>
                <w:color w:val="000000"/>
                <w:sz w:val="22"/>
                <w:szCs w:val="22"/>
                <w:lang w:val="uk-UA"/>
              </w:rPr>
            </w:pPr>
            <w:r w:rsidRPr="0031068F">
              <w:rPr>
                <w:color w:val="000000"/>
                <w:sz w:val="22"/>
                <w:szCs w:val="22"/>
                <w:lang w:val="uk-UA"/>
              </w:rPr>
              <w:t>Проведен</w:t>
            </w:r>
            <w:r w:rsidR="009833B7" w:rsidRPr="0031068F">
              <w:rPr>
                <w:color w:val="000000"/>
                <w:sz w:val="22"/>
                <w:szCs w:val="22"/>
                <w:lang w:val="uk-UA"/>
              </w:rPr>
              <w:t>ня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 сері</w:t>
            </w:r>
            <w:r w:rsidR="009833B7" w:rsidRPr="0031068F">
              <w:rPr>
                <w:color w:val="000000"/>
                <w:sz w:val="22"/>
                <w:szCs w:val="22"/>
                <w:lang w:val="uk-UA"/>
              </w:rPr>
              <w:t>ї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 з 10 фокус-групових дискусій з представниками цільових груп (різні вікові категорії, регіони, рівень залученості до гуманітарної діяльності, довіра до гуманітарних інституцій тощо).</w:t>
            </w:r>
          </w:p>
        </w:tc>
      </w:tr>
      <w:tr w:rsidR="008308A5" w:rsidRPr="001A6B73" w14:paraId="0EC2DB2D" w14:textId="77777777" w:rsidTr="00C65743">
        <w:trPr>
          <w:trHeight w:val="35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99F6A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589FC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2B78B7" w14:textId="79C920C9" w:rsidR="008308A5" w:rsidRPr="0031068F" w:rsidRDefault="008308A5" w:rsidP="00F07D64">
            <w:pPr>
              <w:pStyle w:val="af"/>
              <w:numPr>
                <w:ilvl w:val="0"/>
                <w:numId w:val="31"/>
              </w:numPr>
              <w:ind w:left="265" w:hanging="284"/>
              <w:rPr>
                <w:color w:val="000000"/>
                <w:sz w:val="22"/>
                <w:szCs w:val="22"/>
                <w:lang w:val="uk-UA"/>
              </w:rPr>
            </w:pP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6 ФГД </w:t>
            </w:r>
            <w:r w:rsidR="001E3152" w:rsidRPr="0031068F">
              <w:rPr>
                <w:color w:val="000000"/>
                <w:sz w:val="22"/>
                <w:szCs w:val="22"/>
                <w:lang w:val="uk-UA"/>
              </w:rPr>
              <w:t>проводиться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 онлайн, 4 — </w:t>
            </w:r>
            <w:proofErr w:type="spellStart"/>
            <w:r w:rsidRPr="0031068F">
              <w:rPr>
                <w:color w:val="000000"/>
                <w:sz w:val="22"/>
                <w:szCs w:val="22"/>
                <w:lang w:val="uk-UA"/>
              </w:rPr>
              <w:t>офлайн</w:t>
            </w:r>
            <w:proofErr w:type="spellEnd"/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 в обласних центрах.</w:t>
            </w:r>
          </w:p>
        </w:tc>
      </w:tr>
      <w:tr w:rsidR="008308A5" w:rsidRPr="001A6B73" w14:paraId="21BB7826" w14:textId="77777777" w:rsidTr="00C65743">
        <w:trPr>
          <w:trHeight w:val="26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F06E4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845DA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BC7AAF" w14:textId="6C195C51" w:rsidR="008308A5" w:rsidRPr="0031068F" w:rsidRDefault="008308A5" w:rsidP="00F07D64">
            <w:pPr>
              <w:pStyle w:val="af"/>
              <w:numPr>
                <w:ilvl w:val="0"/>
                <w:numId w:val="31"/>
              </w:numPr>
              <w:ind w:left="265" w:hanging="284"/>
              <w:rPr>
                <w:color w:val="000000"/>
                <w:sz w:val="22"/>
                <w:szCs w:val="22"/>
                <w:lang w:val="uk-UA"/>
              </w:rPr>
            </w:pP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Обговорення включає блок про відмінності між </w:t>
            </w:r>
            <w:r w:rsidR="00A164EB" w:rsidRPr="0031068F">
              <w:rPr>
                <w:color w:val="000000"/>
                <w:sz w:val="22"/>
                <w:szCs w:val="22"/>
                <w:lang w:val="uk-UA"/>
              </w:rPr>
              <w:t>організаціями, що входять до складу Руху Червоного Хреста та Червоного Півмісяця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8308A5" w:rsidRPr="001A6B73" w14:paraId="5B72127C" w14:textId="77777777" w:rsidTr="00C65743">
        <w:trPr>
          <w:trHeight w:val="5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D04D9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FD7C5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F5595D" w14:textId="28CA76B1" w:rsidR="008308A5" w:rsidRPr="0031068F" w:rsidRDefault="008308A5" w:rsidP="00F07D64">
            <w:pPr>
              <w:pStyle w:val="af"/>
              <w:numPr>
                <w:ilvl w:val="0"/>
                <w:numId w:val="31"/>
              </w:numPr>
              <w:ind w:left="265" w:hanging="284"/>
              <w:rPr>
                <w:color w:val="000000"/>
                <w:sz w:val="22"/>
                <w:szCs w:val="22"/>
                <w:lang w:val="uk-UA"/>
              </w:rPr>
            </w:pP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Усі сесії </w:t>
            </w:r>
            <w:r w:rsidR="00356628" w:rsidRPr="0031068F">
              <w:rPr>
                <w:color w:val="000000"/>
                <w:sz w:val="22"/>
                <w:szCs w:val="22"/>
                <w:lang w:val="uk-UA"/>
              </w:rPr>
              <w:t>мають</w:t>
            </w:r>
            <w:r w:rsidR="00D76194" w:rsidRPr="0031068F">
              <w:rPr>
                <w:color w:val="000000"/>
                <w:sz w:val="22"/>
                <w:szCs w:val="22"/>
                <w:lang w:val="uk-UA"/>
              </w:rPr>
              <w:t xml:space="preserve"> бути 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>транскрибован</w:t>
            </w:r>
            <w:r w:rsidR="00D76194" w:rsidRPr="0031068F">
              <w:rPr>
                <w:color w:val="000000"/>
                <w:sz w:val="22"/>
                <w:szCs w:val="22"/>
                <w:lang w:val="uk-UA"/>
              </w:rPr>
              <w:t>і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8308A5" w:rsidRPr="001A6B73" w14:paraId="2509658C" w14:textId="77777777" w:rsidTr="003A3409">
        <w:trPr>
          <w:trHeight w:val="5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C06BF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BB637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A13E0" w14:textId="5830D9B8" w:rsidR="008308A5" w:rsidRPr="0031068F" w:rsidRDefault="008308A5" w:rsidP="00F07D64">
            <w:pPr>
              <w:pStyle w:val="af"/>
              <w:numPr>
                <w:ilvl w:val="0"/>
                <w:numId w:val="31"/>
              </w:numPr>
              <w:ind w:left="265" w:hanging="284"/>
              <w:rPr>
                <w:color w:val="000000"/>
                <w:sz w:val="22"/>
                <w:szCs w:val="22"/>
                <w:lang w:val="uk-UA"/>
              </w:rPr>
            </w:pP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Результати </w:t>
            </w:r>
            <w:proofErr w:type="spellStart"/>
            <w:r w:rsidRPr="0031068F">
              <w:rPr>
                <w:color w:val="000000"/>
                <w:sz w:val="22"/>
                <w:szCs w:val="22"/>
                <w:lang w:val="uk-UA"/>
              </w:rPr>
              <w:t>генералізован</w:t>
            </w:r>
            <w:r w:rsidR="00356628" w:rsidRPr="0031068F">
              <w:rPr>
                <w:color w:val="000000"/>
                <w:sz w:val="22"/>
                <w:szCs w:val="22"/>
                <w:lang w:val="uk-UA"/>
              </w:rPr>
              <w:t>і</w:t>
            </w:r>
            <w:proofErr w:type="spellEnd"/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 у формі узагальнюючих таблиць</w:t>
            </w:r>
            <w:r w:rsidR="00C67B94" w:rsidRPr="0031068F">
              <w:rPr>
                <w:color w:val="000000"/>
                <w:sz w:val="22"/>
                <w:szCs w:val="22"/>
                <w:lang w:val="uk-UA"/>
              </w:rPr>
              <w:t xml:space="preserve"> та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 передан</w:t>
            </w:r>
            <w:r w:rsidR="00C67B94" w:rsidRPr="0031068F">
              <w:rPr>
                <w:color w:val="000000"/>
                <w:sz w:val="22"/>
                <w:szCs w:val="22"/>
                <w:lang w:val="uk-UA"/>
              </w:rPr>
              <w:t>і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67B94" w:rsidRPr="0031068F">
              <w:rPr>
                <w:color w:val="000000"/>
                <w:sz w:val="22"/>
                <w:szCs w:val="22"/>
                <w:lang w:val="uk-UA"/>
              </w:rPr>
              <w:t>З</w:t>
            </w:r>
            <w:r w:rsidRPr="0031068F">
              <w:rPr>
                <w:color w:val="000000"/>
                <w:sz w:val="22"/>
                <w:szCs w:val="22"/>
                <w:lang w:val="uk-UA"/>
              </w:rPr>
              <w:t>амовнику.</w:t>
            </w:r>
          </w:p>
        </w:tc>
      </w:tr>
      <w:tr w:rsidR="008308A5" w:rsidRPr="001A6B73" w14:paraId="58C9EC01" w14:textId="77777777" w:rsidTr="003A3409">
        <w:trPr>
          <w:trHeight w:val="87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9785C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B4CB8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52CD8">
              <w:rPr>
                <w:b/>
                <w:bCs/>
                <w:color w:val="000000"/>
                <w:sz w:val="22"/>
                <w:szCs w:val="22"/>
                <w:lang w:val="uk-UA"/>
              </w:rPr>
              <w:t>Глибинні інтерв’ю з експертами</w:t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1B0CE0" w14:textId="03AB8624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Проведен</w:t>
            </w:r>
            <w:r w:rsidR="00C67B94">
              <w:rPr>
                <w:color w:val="000000"/>
                <w:sz w:val="22"/>
                <w:szCs w:val="22"/>
                <w:lang w:val="uk-UA"/>
              </w:rPr>
              <w:t>ня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8 глибинних інтерв’ю з ключовими експертами (журналісти, представники НУО, муніципалітети, партнери, аналітики сектору допомоги).</w:t>
            </w:r>
          </w:p>
        </w:tc>
      </w:tr>
      <w:tr w:rsidR="008308A5" w:rsidRPr="001A6B73" w14:paraId="33ACC62F" w14:textId="77777777" w:rsidTr="00C65743">
        <w:trPr>
          <w:trHeight w:val="16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FBB4D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16A1D" w14:textId="77777777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00BF04" w14:textId="6828F2F9" w:rsidR="008308A5" w:rsidRPr="00DF0C6C" w:rsidRDefault="008308A5" w:rsidP="00DF0C6C">
            <w:pPr>
              <w:pStyle w:val="af"/>
              <w:numPr>
                <w:ilvl w:val="0"/>
                <w:numId w:val="32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DF0C6C">
              <w:rPr>
                <w:color w:val="000000"/>
                <w:sz w:val="22"/>
                <w:szCs w:val="22"/>
                <w:lang w:val="uk-UA"/>
              </w:rPr>
              <w:t>Окремим блоком п</w:t>
            </w:r>
            <w:r w:rsidR="007D2857">
              <w:rPr>
                <w:color w:val="000000"/>
                <w:sz w:val="22"/>
                <w:szCs w:val="22"/>
                <w:lang w:val="uk-UA"/>
              </w:rPr>
              <w:t>роводиться аналіз</w:t>
            </w:r>
            <w:r w:rsidRPr="00DF0C6C">
              <w:rPr>
                <w:color w:val="000000"/>
                <w:sz w:val="22"/>
                <w:szCs w:val="22"/>
                <w:lang w:val="uk-UA"/>
              </w:rPr>
              <w:t>, наскільки експерти вірно розрізняють ТЧХУ, МКЧХ та МФЧХ.</w:t>
            </w:r>
          </w:p>
        </w:tc>
      </w:tr>
      <w:tr w:rsidR="008308A5" w:rsidRPr="001A6B73" w14:paraId="40728E98" w14:textId="77777777" w:rsidTr="00C65743">
        <w:trPr>
          <w:trHeight w:val="5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BC8BA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03E45" w14:textId="77777777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1A778" w14:textId="5510306A" w:rsidR="008308A5" w:rsidRPr="00DF0C6C" w:rsidRDefault="008308A5" w:rsidP="00DF0C6C">
            <w:pPr>
              <w:pStyle w:val="af"/>
              <w:numPr>
                <w:ilvl w:val="0"/>
                <w:numId w:val="32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DF0C6C">
              <w:rPr>
                <w:color w:val="000000"/>
                <w:sz w:val="22"/>
                <w:szCs w:val="22"/>
                <w:lang w:val="uk-UA"/>
              </w:rPr>
              <w:t xml:space="preserve">Інтерв’ю </w:t>
            </w:r>
            <w:r w:rsidR="00BC6C5A">
              <w:rPr>
                <w:color w:val="000000"/>
                <w:sz w:val="22"/>
                <w:szCs w:val="22"/>
                <w:lang w:val="uk-UA"/>
              </w:rPr>
              <w:t xml:space="preserve">має бути </w:t>
            </w:r>
            <w:r w:rsidRPr="00DF0C6C">
              <w:rPr>
                <w:color w:val="000000"/>
                <w:sz w:val="22"/>
                <w:szCs w:val="22"/>
                <w:lang w:val="uk-UA"/>
              </w:rPr>
              <w:t>транскрибовано.</w:t>
            </w:r>
          </w:p>
        </w:tc>
      </w:tr>
      <w:tr w:rsidR="008308A5" w:rsidRPr="001A6B73" w14:paraId="619AD30F" w14:textId="77777777" w:rsidTr="003A3409">
        <w:trPr>
          <w:trHeight w:val="5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53B8F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A845C" w14:textId="77777777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4AC18" w14:textId="61BAFE67" w:rsidR="008308A5" w:rsidRPr="00DF0C6C" w:rsidRDefault="008308A5" w:rsidP="00DF0C6C">
            <w:pPr>
              <w:pStyle w:val="af"/>
              <w:numPr>
                <w:ilvl w:val="0"/>
                <w:numId w:val="32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DF0C6C">
              <w:rPr>
                <w:color w:val="000000"/>
                <w:sz w:val="22"/>
                <w:szCs w:val="22"/>
                <w:lang w:val="uk-UA"/>
              </w:rPr>
              <w:t xml:space="preserve">Результати узагальнено у таблицях, передано </w:t>
            </w:r>
            <w:r w:rsidR="0044382B">
              <w:rPr>
                <w:color w:val="000000"/>
                <w:sz w:val="22"/>
                <w:szCs w:val="22"/>
                <w:lang w:val="uk-UA"/>
              </w:rPr>
              <w:t>З</w:t>
            </w:r>
            <w:r w:rsidRPr="00DF0C6C">
              <w:rPr>
                <w:color w:val="000000"/>
                <w:sz w:val="22"/>
                <w:szCs w:val="22"/>
                <w:lang w:val="uk-UA"/>
              </w:rPr>
              <w:t>амовнику.</w:t>
            </w:r>
          </w:p>
        </w:tc>
      </w:tr>
      <w:tr w:rsidR="008308A5" w:rsidRPr="001A6B73" w14:paraId="2697DA06" w14:textId="77777777" w:rsidTr="003A3409">
        <w:trPr>
          <w:trHeight w:val="501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FC516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8A048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52CD8">
              <w:rPr>
                <w:b/>
                <w:bCs/>
                <w:color w:val="000000"/>
                <w:sz w:val="22"/>
                <w:szCs w:val="22"/>
                <w:lang w:val="uk-UA"/>
              </w:rPr>
              <w:t>Аналітичний звіт</w:t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09A1FA" w14:textId="477EB5EA" w:rsidR="008308A5" w:rsidRPr="001A6B73" w:rsidRDefault="008308A5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>1)</w:t>
            </w:r>
            <w:r w:rsidRPr="001A6B73">
              <w:rPr>
                <w:b/>
                <w:bCs/>
                <w:color w:val="000000"/>
                <w:sz w:val="14"/>
                <w:szCs w:val="14"/>
                <w:lang w:val="uk-UA"/>
              </w:rPr>
              <w:t xml:space="preserve">      </w:t>
            </w:r>
            <w:r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>Підготов</w:t>
            </w:r>
            <w:r w:rsidR="00804876">
              <w:rPr>
                <w:b/>
                <w:bCs/>
                <w:color w:val="000000"/>
                <w:sz w:val="22"/>
                <w:szCs w:val="22"/>
                <w:lang w:val="uk-UA"/>
              </w:rPr>
              <w:t>ка</w:t>
            </w:r>
            <w:r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окрем</w:t>
            </w:r>
            <w:r w:rsidR="00804876">
              <w:rPr>
                <w:b/>
                <w:bCs/>
                <w:color w:val="000000"/>
                <w:sz w:val="22"/>
                <w:szCs w:val="22"/>
                <w:lang w:val="uk-UA"/>
              </w:rPr>
              <w:t>ого</w:t>
            </w:r>
            <w:r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аналітичн</w:t>
            </w:r>
            <w:r w:rsidR="00804876">
              <w:rPr>
                <w:b/>
                <w:bCs/>
                <w:color w:val="000000"/>
                <w:sz w:val="22"/>
                <w:szCs w:val="22"/>
                <w:lang w:val="uk-UA"/>
              </w:rPr>
              <w:t>ого</w:t>
            </w:r>
            <w:r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звіт</w:t>
            </w:r>
            <w:r w:rsidR="00804876">
              <w:rPr>
                <w:b/>
                <w:bCs/>
                <w:color w:val="000000"/>
                <w:sz w:val="22"/>
                <w:szCs w:val="22"/>
                <w:lang w:val="uk-UA"/>
              </w:rPr>
              <w:t>у</w:t>
            </w:r>
            <w:r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за результатами кількісного опитування населення.</w:t>
            </w:r>
          </w:p>
        </w:tc>
      </w:tr>
      <w:tr w:rsidR="008308A5" w:rsidRPr="00925EA8" w14:paraId="5D4D048E" w14:textId="77777777" w:rsidTr="003A3409">
        <w:trPr>
          <w:trHeight w:val="99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3E8BB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40B87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4AF95C" w14:textId="30CFF49B" w:rsidR="008308A5" w:rsidRPr="00F259A2" w:rsidRDefault="008308A5" w:rsidP="00F259A2">
            <w:pPr>
              <w:pStyle w:val="af"/>
              <w:numPr>
                <w:ilvl w:val="0"/>
                <w:numId w:val="33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F259A2">
              <w:rPr>
                <w:color w:val="000000"/>
                <w:sz w:val="22"/>
                <w:szCs w:val="22"/>
                <w:lang w:val="uk-UA"/>
              </w:rPr>
              <w:t xml:space="preserve">Звіт </w:t>
            </w:r>
            <w:r w:rsidR="00192C87">
              <w:rPr>
                <w:color w:val="000000"/>
                <w:sz w:val="22"/>
                <w:szCs w:val="22"/>
                <w:lang w:val="uk-UA"/>
              </w:rPr>
              <w:t xml:space="preserve">має </w:t>
            </w:r>
            <w:r w:rsidRPr="00F259A2">
              <w:rPr>
                <w:color w:val="000000"/>
                <w:sz w:val="22"/>
                <w:szCs w:val="22"/>
                <w:lang w:val="uk-UA"/>
              </w:rPr>
              <w:t>містит</w:t>
            </w:r>
            <w:r w:rsidR="00192C87">
              <w:rPr>
                <w:color w:val="000000"/>
                <w:sz w:val="22"/>
                <w:szCs w:val="22"/>
                <w:lang w:val="uk-UA"/>
              </w:rPr>
              <w:t>и</w:t>
            </w:r>
            <w:r w:rsidRPr="00F259A2">
              <w:rPr>
                <w:color w:val="000000"/>
                <w:sz w:val="22"/>
                <w:szCs w:val="22"/>
                <w:lang w:val="uk-UA"/>
              </w:rPr>
              <w:t xml:space="preserve">: рівень обізнаності та довіри до ТЧХУ, ступінь </w:t>
            </w:r>
            <w:proofErr w:type="spellStart"/>
            <w:r w:rsidRPr="00F259A2">
              <w:rPr>
                <w:color w:val="000000"/>
                <w:sz w:val="22"/>
                <w:szCs w:val="22"/>
                <w:lang w:val="uk-UA"/>
              </w:rPr>
              <w:t>впізнаваності</w:t>
            </w:r>
            <w:proofErr w:type="spellEnd"/>
            <w:r w:rsidRPr="00F259A2">
              <w:rPr>
                <w:color w:val="000000"/>
                <w:sz w:val="22"/>
                <w:szCs w:val="22"/>
                <w:lang w:val="uk-UA"/>
              </w:rPr>
              <w:t>, основні бар’єри, мотиваційні фактори, соціально-демографічний аналіз, регіональні відмінності, оцінку рівня розуміння різниці між ТЧХУ, МКЧХ, МФЧХ і ПНС.</w:t>
            </w:r>
          </w:p>
        </w:tc>
      </w:tr>
      <w:tr w:rsidR="008308A5" w:rsidRPr="001A6B73" w14:paraId="73B09017" w14:textId="77777777" w:rsidTr="003A3409">
        <w:trPr>
          <w:trHeight w:val="5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49606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C473D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75A7BC" w14:textId="121574D0" w:rsidR="008308A5" w:rsidRPr="00F259A2" w:rsidRDefault="008308A5" w:rsidP="00F259A2">
            <w:pPr>
              <w:pStyle w:val="af"/>
              <w:numPr>
                <w:ilvl w:val="0"/>
                <w:numId w:val="33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F259A2">
              <w:rPr>
                <w:color w:val="000000"/>
                <w:sz w:val="22"/>
                <w:szCs w:val="22"/>
                <w:lang w:val="uk-UA"/>
              </w:rPr>
              <w:t>Усі висновки підтверджуються кількісними даними з таблиць та графіками.</w:t>
            </w:r>
          </w:p>
        </w:tc>
      </w:tr>
      <w:tr w:rsidR="008308A5" w:rsidRPr="001A6B73" w14:paraId="2BED6970" w14:textId="77777777" w:rsidTr="003A3409">
        <w:trPr>
          <w:trHeight w:val="5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4B66B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70EA5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69BFBD" w14:textId="171C25C2" w:rsidR="008308A5" w:rsidRPr="00F259A2" w:rsidRDefault="008308A5" w:rsidP="00F259A2">
            <w:pPr>
              <w:pStyle w:val="af"/>
              <w:numPr>
                <w:ilvl w:val="0"/>
                <w:numId w:val="33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F259A2">
              <w:rPr>
                <w:color w:val="000000"/>
                <w:sz w:val="22"/>
                <w:szCs w:val="22"/>
                <w:lang w:val="uk-UA"/>
              </w:rPr>
              <w:t xml:space="preserve">Звіт </w:t>
            </w:r>
            <w:r w:rsidR="00340254">
              <w:rPr>
                <w:color w:val="000000"/>
                <w:sz w:val="22"/>
                <w:szCs w:val="22"/>
                <w:lang w:val="uk-UA"/>
              </w:rPr>
              <w:t>готується</w:t>
            </w:r>
            <w:r w:rsidRPr="00F259A2">
              <w:rPr>
                <w:color w:val="000000"/>
                <w:sz w:val="22"/>
                <w:szCs w:val="22"/>
                <w:lang w:val="uk-UA"/>
              </w:rPr>
              <w:t xml:space="preserve"> українською та англійською мовами, узгодж</w:t>
            </w:r>
            <w:r w:rsidR="00340254">
              <w:rPr>
                <w:color w:val="000000"/>
                <w:sz w:val="22"/>
                <w:szCs w:val="22"/>
                <w:lang w:val="uk-UA"/>
              </w:rPr>
              <w:t>ується</w:t>
            </w:r>
            <w:r w:rsidRPr="00F259A2">
              <w:rPr>
                <w:color w:val="000000"/>
                <w:sz w:val="22"/>
                <w:szCs w:val="22"/>
                <w:lang w:val="uk-UA"/>
              </w:rPr>
              <w:t xml:space="preserve"> з Замовником.</w:t>
            </w:r>
            <w:r w:rsidR="00F259A2" w:rsidRPr="00F259A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8308A5" w:rsidRPr="001A6B73" w14:paraId="1AD796C0" w14:textId="77777777" w:rsidTr="003A3409">
        <w:trPr>
          <w:trHeight w:val="75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2B4DE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197EA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FDE219" w14:textId="0879BA2C" w:rsidR="008308A5" w:rsidRPr="001A6B73" w:rsidRDefault="008308A5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>2)</w:t>
            </w:r>
            <w:r w:rsidRPr="001A6B73">
              <w:rPr>
                <w:b/>
                <w:bCs/>
                <w:color w:val="000000"/>
                <w:sz w:val="14"/>
                <w:szCs w:val="14"/>
                <w:lang w:val="uk-UA"/>
              </w:rPr>
              <w:t xml:space="preserve">      </w:t>
            </w:r>
            <w:r w:rsidR="00F259A2"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>Підготов</w:t>
            </w:r>
            <w:r w:rsidR="00F259A2">
              <w:rPr>
                <w:b/>
                <w:bCs/>
                <w:color w:val="000000"/>
                <w:sz w:val="22"/>
                <w:szCs w:val="22"/>
                <w:lang w:val="uk-UA"/>
              </w:rPr>
              <w:t>ка</w:t>
            </w:r>
            <w:r w:rsidR="00F259A2"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окрем</w:t>
            </w:r>
            <w:r w:rsidR="00F259A2">
              <w:rPr>
                <w:b/>
                <w:bCs/>
                <w:color w:val="000000"/>
                <w:sz w:val="22"/>
                <w:szCs w:val="22"/>
                <w:lang w:val="uk-UA"/>
              </w:rPr>
              <w:t>ого</w:t>
            </w:r>
            <w:r w:rsidR="00F259A2"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аналітичн</w:t>
            </w:r>
            <w:r w:rsidR="00F259A2">
              <w:rPr>
                <w:b/>
                <w:bCs/>
                <w:color w:val="000000"/>
                <w:sz w:val="22"/>
                <w:szCs w:val="22"/>
                <w:lang w:val="uk-UA"/>
              </w:rPr>
              <w:t>ого</w:t>
            </w:r>
            <w:r w:rsidR="00F259A2"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звіт</w:t>
            </w:r>
            <w:r w:rsidR="00F259A2">
              <w:rPr>
                <w:b/>
                <w:bCs/>
                <w:color w:val="000000"/>
                <w:sz w:val="22"/>
                <w:szCs w:val="22"/>
                <w:lang w:val="uk-UA"/>
              </w:rPr>
              <w:t>у</w:t>
            </w:r>
            <w:r w:rsidR="00F259A2"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1A6B73">
              <w:rPr>
                <w:b/>
                <w:bCs/>
                <w:color w:val="000000"/>
                <w:sz w:val="22"/>
                <w:szCs w:val="22"/>
                <w:lang w:val="uk-UA"/>
              </w:rPr>
              <w:t>за результатами якісного дослідження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(ФГД та глибинні інтерв’ю з експертами).</w:t>
            </w:r>
          </w:p>
        </w:tc>
      </w:tr>
      <w:tr w:rsidR="008308A5" w:rsidRPr="001A6B73" w14:paraId="0AAE02A2" w14:textId="77777777" w:rsidTr="003A3409">
        <w:trPr>
          <w:trHeight w:val="714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F0A08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0BD48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9A4DF9" w14:textId="1B95115E" w:rsidR="008308A5" w:rsidRPr="00F2618A" w:rsidRDefault="006661D4" w:rsidP="00F2618A">
            <w:pPr>
              <w:pStyle w:val="af"/>
              <w:numPr>
                <w:ilvl w:val="0"/>
                <w:numId w:val="34"/>
              </w:numPr>
              <w:ind w:left="406"/>
              <w:rPr>
                <w:color w:val="000000"/>
                <w:sz w:val="22"/>
                <w:szCs w:val="22"/>
                <w:lang w:val="uk-UA"/>
              </w:rPr>
            </w:pPr>
            <w:r w:rsidRPr="00F259A2">
              <w:rPr>
                <w:color w:val="000000"/>
                <w:sz w:val="22"/>
                <w:szCs w:val="22"/>
                <w:lang w:val="uk-UA"/>
              </w:rPr>
              <w:t xml:space="preserve">Звіт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має </w:t>
            </w:r>
            <w:r w:rsidRPr="00F259A2">
              <w:rPr>
                <w:color w:val="000000"/>
                <w:sz w:val="22"/>
                <w:szCs w:val="22"/>
                <w:lang w:val="uk-UA"/>
              </w:rPr>
              <w:t>містит</w:t>
            </w:r>
            <w:r>
              <w:rPr>
                <w:color w:val="000000"/>
                <w:sz w:val="22"/>
                <w:szCs w:val="22"/>
                <w:lang w:val="uk-UA"/>
              </w:rPr>
              <w:t>и</w:t>
            </w:r>
            <w:r w:rsidRPr="00F2618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8308A5" w:rsidRPr="00F2618A">
              <w:rPr>
                <w:color w:val="000000"/>
                <w:sz w:val="22"/>
                <w:szCs w:val="22"/>
                <w:lang w:val="uk-UA"/>
              </w:rPr>
              <w:t xml:space="preserve">структурований аналіз основних тем, що виникли під час дискусій, з ілюстрацією цитатами, виявленими </w:t>
            </w:r>
            <w:proofErr w:type="spellStart"/>
            <w:r w:rsidR="008308A5" w:rsidRPr="00F2618A">
              <w:rPr>
                <w:color w:val="000000"/>
                <w:sz w:val="22"/>
                <w:szCs w:val="22"/>
                <w:lang w:val="uk-UA"/>
              </w:rPr>
              <w:t>патернами</w:t>
            </w:r>
            <w:proofErr w:type="spellEnd"/>
            <w:r w:rsidR="008308A5" w:rsidRPr="00F2618A">
              <w:rPr>
                <w:color w:val="000000"/>
                <w:sz w:val="22"/>
                <w:szCs w:val="22"/>
                <w:lang w:val="uk-UA"/>
              </w:rPr>
              <w:t xml:space="preserve"> та ключовими </w:t>
            </w:r>
            <w:proofErr w:type="spellStart"/>
            <w:r w:rsidR="008308A5" w:rsidRPr="00F2618A">
              <w:rPr>
                <w:color w:val="000000"/>
                <w:sz w:val="22"/>
                <w:szCs w:val="22"/>
                <w:lang w:val="uk-UA"/>
              </w:rPr>
              <w:t>інсайтами</w:t>
            </w:r>
            <w:proofErr w:type="spellEnd"/>
            <w:r w:rsidR="008308A5" w:rsidRPr="00F2618A">
              <w:rPr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8308A5" w:rsidRPr="001A6B73" w14:paraId="4E43E6DD" w14:textId="77777777" w:rsidTr="00C65743">
        <w:trPr>
          <w:trHeight w:val="6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7A4AB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50737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D2B3AE" w14:textId="73098AC7" w:rsidR="008308A5" w:rsidRPr="00F2618A" w:rsidRDefault="008308A5" w:rsidP="00F2618A">
            <w:pPr>
              <w:pStyle w:val="af"/>
              <w:numPr>
                <w:ilvl w:val="0"/>
                <w:numId w:val="34"/>
              </w:numPr>
              <w:ind w:left="406"/>
              <w:rPr>
                <w:color w:val="000000"/>
                <w:sz w:val="22"/>
                <w:szCs w:val="22"/>
                <w:lang w:val="uk-UA"/>
              </w:rPr>
            </w:pPr>
            <w:r w:rsidRPr="00F2618A">
              <w:rPr>
                <w:color w:val="000000"/>
                <w:sz w:val="22"/>
                <w:szCs w:val="22"/>
                <w:lang w:val="uk-UA"/>
              </w:rPr>
              <w:t>Особлив</w:t>
            </w:r>
            <w:r w:rsidR="00BB4B5E">
              <w:rPr>
                <w:color w:val="000000"/>
                <w:sz w:val="22"/>
                <w:szCs w:val="22"/>
                <w:lang w:val="uk-UA"/>
              </w:rPr>
              <w:t>а</w:t>
            </w:r>
            <w:r w:rsidRPr="00F2618A">
              <w:rPr>
                <w:color w:val="000000"/>
                <w:sz w:val="22"/>
                <w:szCs w:val="22"/>
                <w:lang w:val="uk-UA"/>
              </w:rPr>
              <w:t xml:space="preserve"> уваг</w:t>
            </w:r>
            <w:r w:rsidR="00BB4B5E">
              <w:rPr>
                <w:color w:val="000000"/>
                <w:sz w:val="22"/>
                <w:szCs w:val="22"/>
                <w:lang w:val="uk-UA"/>
              </w:rPr>
              <w:t>а</w:t>
            </w:r>
            <w:r w:rsidRPr="00F2618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BB4B5E">
              <w:rPr>
                <w:color w:val="000000"/>
                <w:sz w:val="22"/>
                <w:szCs w:val="22"/>
                <w:lang w:val="uk-UA"/>
              </w:rPr>
              <w:t xml:space="preserve">має бути </w:t>
            </w:r>
            <w:r w:rsidRPr="00F2618A">
              <w:rPr>
                <w:color w:val="000000"/>
                <w:sz w:val="22"/>
                <w:szCs w:val="22"/>
                <w:lang w:val="uk-UA"/>
              </w:rPr>
              <w:t>приділен</w:t>
            </w:r>
            <w:r w:rsidR="00BB4B5E">
              <w:rPr>
                <w:color w:val="000000"/>
                <w:sz w:val="22"/>
                <w:szCs w:val="22"/>
                <w:lang w:val="uk-UA"/>
              </w:rPr>
              <w:t>а</w:t>
            </w:r>
            <w:r w:rsidRPr="00F2618A">
              <w:rPr>
                <w:color w:val="000000"/>
                <w:sz w:val="22"/>
                <w:szCs w:val="22"/>
                <w:lang w:val="uk-UA"/>
              </w:rPr>
              <w:t xml:space="preserve"> темі розуміння населенням функцій різних </w:t>
            </w:r>
            <w:proofErr w:type="spellStart"/>
            <w:r w:rsidRPr="00F2618A">
              <w:rPr>
                <w:color w:val="000000"/>
                <w:sz w:val="22"/>
                <w:szCs w:val="22"/>
                <w:lang w:val="uk-UA"/>
              </w:rPr>
              <w:t>червонохресних</w:t>
            </w:r>
            <w:proofErr w:type="spellEnd"/>
            <w:r w:rsidRPr="00F2618A">
              <w:rPr>
                <w:color w:val="000000"/>
                <w:sz w:val="22"/>
                <w:szCs w:val="22"/>
                <w:lang w:val="uk-UA"/>
              </w:rPr>
              <w:t xml:space="preserve"> організацій.</w:t>
            </w:r>
          </w:p>
        </w:tc>
      </w:tr>
      <w:tr w:rsidR="008308A5" w:rsidRPr="00925EA8" w14:paraId="0E8BB75F" w14:textId="77777777" w:rsidTr="003A3409">
        <w:trPr>
          <w:trHeight w:val="66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C7F29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6F752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6B042A" w14:textId="0C0BBDF1" w:rsidR="008308A5" w:rsidRPr="00F2618A" w:rsidRDefault="008308A5" w:rsidP="00F2618A">
            <w:pPr>
              <w:pStyle w:val="af"/>
              <w:numPr>
                <w:ilvl w:val="0"/>
                <w:numId w:val="34"/>
              </w:numPr>
              <w:ind w:left="406"/>
              <w:rPr>
                <w:color w:val="000000"/>
                <w:sz w:val="22"/>
                <w:szCs w:val="22"/>
                <w:lang w:val="uk-UA"/>
              </w:rPr>
            </w:pPr>
            <w:r w:rsidRPr="00F2618A">
              <w:rPr>
                <w:color w:val="000000"/>
                <w:sz w:val="22"/>
                <w:szCs w:val="22"/>
                <w:lang w:val="uk-UA"/>
              </w:rPr>
              <w:t>У звіті також здійсн</w:t>
            </w:r>
            <w:r w:rsidR="007B2410">
              <w:rPr>
                <w:color w:val="000000"/>
                <w:sz w:val="22"/>
                <w:szCs w:val="22"/>
                <w:lang w:val="uk-UA"/>
              </w:rPr>
              <w:t>юється</w:t>
            </w:r>
            <w:r w:rsidRPr="00F2618A">
              <w:rPr>
                <w:color w:val="000000"/>
                <w:sz w:val="22"/>
                <w:szCs w:val="22"/>
                <w:lang w:val="uk-UA"/>
              </w:rPr>
              <w:t xml:space="preserve"> аналіз поведінкових факторів відповідно до COM-B моделі або іншої науково обґрунтованої поведінкової рамки.</w:t>
            </w:r>
          </w:p>
        </w:tc>
      </w:tr>
      <w:tr w:rsidR="008308A5" w:rsidRPr="00925EA8" w14:paraId="2BA58C63" w14:textId="77777777" w:rsidTr="003A3409">
        <w:trPr>
          <w:trHeight w:val="5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67195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03234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2BCE6" w14:textId="27CBF53F" w:rsidR="008308A5" w:rsidRPr="008606B2" w:rsidRDefault="008606B2" w:rsidP="00F2618A">
            <w:pPr>
              <w:pStyle w:val="af"/>
              <w:numPr>
                <w:ilvl w:val="0"/>
                <w:numId w:val="34"/>
              </w:numPr>
              <w:ind w:left="406"/>
              <w:rPr>
                <w:color w:val="000000"/>
                <w:sz w:val="22"/>
                <w:szCs w:val="22"/>
                <w:lang w:val="uk-UA"/>
              </w:rPr>
            </w:pPr>
            <w:r w:rsidRPr="008606B2">
              <w:rPr>
                <w:color w:val="000000"/>
                <w:sz w:val="22"/>
                <w:szCs w:val="22"/>
                <w:lang w:val="uk-UA"/>
              </w:rPr>
              <w:t>Звіт готується українською та англійською мовами і підлягає узгодженню із Замовником</w:t>
            </w:r>
            <w:r w:rsidR="008308A5" w:rsidRPr="008606B2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8308A5" w:rsidRPr="001A6B73" w14:paraId="5B5E7877" w14:textId="77777777" w:rsidTr="003A3409">
        <w:trPr>
          <w:trHeight w:val="501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77AB9" w14:textId="77777777" w:rsidR="008308A5" w:rsidRPr="001A6B73" w:rsidRDefault="008308A5" w:rsidP="003A340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CCFE" w14:textId="77777777" w:rsidR="008308A5" w:rsidRPr="00952CD8" w:rsidRDefault="008308A5" w:rsidP="00952CD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52CD8">
              <w:rPr>
                <w:b/>
                <w:bCs/>
                <w:color w:val="000000"/>
                <w:sz w:val="22"/>
                <w:szCs w:val="22"/>
                <w:lang w:val="uk-UA"/>
              </w:rPr>
              <w:t>Презентація результатів</w:t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F4188C" w14:textId="5D08076D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  <w:r w:rsidRPr="001A6B73">
              <w:rPr>
                <w:color w:val="000000"/>
                <w:sz w:val="22"/>
                <w:szCs w:val="22"/>
                <w:lang w:val="uk-UA"/>
              </w:rPr>
              <w:t>Підготов</w:t>
            </w:r>
            <w:r w:rsidR="00F2618A">
              <w:rPr>
                <w:color w:val="000000"/>
                <w:sz w:val="22"/>
                <w:szCs w:val="22"/>
                <w:lang w:val="uk-UA"/>
              </w:rPr>
              <w:t>ка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презентаці</w:t>
            </w:r>
            <w:r w:rsidR="00F2618A">
              <w:rPr>
                <w:color w:val="000000"/>
                <w:sz w:val="22"/>
                <w:szCs w:val="22"/>
                <w:lang w:val="uk-UA"/>
              </w:rPr>
              <w:t>ї</w:t>
            </w:r>
            <w:r w:rsidRPr="001A6B73">
              <w:rPr>
                <w:color w:val="000000"/>
                <w:sz w:val="22"/>
                <w:szCs w:val="22"/>
                <w:lang w:val="uk-UA"/>
              </w:rPr>
              <w:t xml:space="preserve"> основних результатів українською та англійською мовами.</w:t>
            </w:r>
          </w:p>
        </w:tc>
      </w:tr>
      <w:tr w:rsidR="008308A5" w:rsidRPr="001A6B73" w14:paraId="7D5E0C34" w14:textId="77777777" w:rsidTr="00C65743">
        <w:trPr>
          <w:trHeight w:val="15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0639E" w14:textId="77777777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A7DF1" w14:textId="77777777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FE3C59" w14:textId="4FCC9996" w:rsidR="008308A5" w:rsidRPr="001F2C9D" w:rsidRDefault="008308A5" w:rsidP="001F2C9D">
            <w:pPr>
              <w:pStyle w:val="af"/>
              <w:numPr>
                <w:ilvl w:val="0"/>
                <w:numId w:val="35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1F2C9D">
              <w:rPr>
                <w:color w:val="000000"/>
                <w:sz w:val="22"/>
                <w:szCs w:val="22"/>
                <w:lang w:val="uk-UA"/>
              </w:rPr>
              <w:t xml:space="preserve">Презентацію </w:t>
            </w:r>
            <w:r w:rsidR="001F2C9D">
              <w:rPr>
                <w:color w:val="000000"/>
                <w:sz w:val="22"/>
                <w:szCs w:val="22"/>
                <w:lang w:val="uk-UA"/>
              </w:rPr>
              <w:t xml:space="preserve">має бути </w:t>
            </w:r>
            <w:r w:rsidRPr="001F2C9D">
              <w:rPr>
                <w:color w:val="000000"/>
                <w:sz w:val="22"/>
                <w:szCs w:val="22"/>
                <w:lang w:val="uk-UA"/>
              </w:rPr>
              <w:t>узгоджен</w:t>
            </w:r>
            <w:r w:rsidR="001F2C9D">
              <w:rPr>
                <w:color w:val="000000"/>
                <w:sz w:val="22"/>
                <w:szCs w:val="22"/>
                <w:lang w:val="uk-UA"/>
              </w:rPr>
              <w:t>а</w:t>
            </w:r>
            <w:r w:rsidRPr="001F2C9D">
              <w:rPr>
                <w:color w:val="000000"/>
                <w:sz w:val="22"/>
                <w:szCs w:val="22"/>
                <w:lang w:val="uk-UA"/>
              </w:rPr>
              <w:t xml:space="preserve"> з </w:t>
            </w:r>
            <w:r w:rsidR="001F2C9D">
              <w:rPr>
                <w:color w:val="000000"/>
                <w:sz w:val="22"/>
                <w:szCs w:val="22"/>
                <w:lang w:val="uk-UA"/>
              </w:rPr>
              <w:t>З</w:t>
            </w:r>
            <w:r w:rsidRPr="001F2C9D">
              <w:rPr>
                <w:color w:val="000000"/>
                <w:sz w:val="22"/>
                <w:szCs w:val="22"/>
                <w:lang w:val="uk-UA"/>
              </w:rPr>
              <w:t>амовником.</w:t>
            </w:r>
          </w:p>
        </w:tc>
      </w:tr>
      <w:tr w:rsidR="008308A5" w:rsidRPr="001A6B73" w14:paraId="1078EB97" w14:textId="77777777" w:rsidTr="003A3409">
        <w:trPr>
          <w:trHeight w:val="81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719FC" w14:textId="77777777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C8C06" w14:textId="77777777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493DA" w14:textId="757826B2" w:rsidR="008308A5" w:rsidRPr="001F2C9D" w:rsidRDefault="008308A5" w:rsidP="001F2C9D">
            <w:pPr>
              <w:pStyle w:val="af"/>
              <w:numPr>
                <w:ilvl w:val="0"/>
                <w:numId w:val="35"/>
              </w:numPr>
              <w:ind w:left="265" w:hanging="265"/>
              <w:rPr>
                <w:color w:val="000000"/>
                <w:sz w:val="22"/>
                <w:szCs w:val="22"/>
                <w:lang w:val="uk-UA"/>
              </w:rPr>
            </w:pPr>
            <w:r w:rsidRPr="001F2C9D">
              <w:rPr>
                <w:color w:val="000000"/>
                <w:sz w:val="22"/>
                <w:szCs w:val="22"/>
                <w:lang w:val="uk-UA"/>
              </w:rPr>
              <w:t>За потреби, представлен</w:t>
            </w:r>
            <w:r w:rsidR="005B61EC">
              <w:rPr>
                <w:color w:val="000000"/>
                <w:sz w:val="22"/>
                <w:szCs w:val="22"/>
                <w:lang w:val="uk-UA"/>
              </w:rPr>
              <w:t>ня</w:t>
            </w:r>
            <w:r w:rsidRPr="001F2C9D">
              <w:rPr>
                <w:color w:val="000000"/>
                <w:sz w:val="22"/>
                <w:szCs w:val="22"/>
                <w:lang w:val="uk-UA"/>
              </w:rPr>
              <w:t xml:space="preserve"> результат</w:t>
            </w:r>
            <w:r w:rsidR="005B61EC"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1F2C9D">
              <w:rPr>
                <w:color w:val="000000"/>
                <w:sz w:val="22"/>
                <w:szCs w:val="22"/>
                <w:lang w:val="uk-UA"/>
              </w:rPr>
              <w:t xml:space="preserve"> дослідження для </w:t>
            </w:r>
            <w:proofErr w:type="spellStart"/>
            <w:r w:rsidRPr="001F2C9D">
              <w:rPr>
                <w:color w:val="000000"/>
                <w:sz w:val="22"/>
                <w:szCs w:val="22"/>
                <w:lang w:val="uk-UA"/>
              </w:rPr>
              <w:t>стейкхолдерів</w:t>
            </w:r>
            <w:proofErr w:type="spellEnd"/>
            <w:r w:rsidRPr="001F2C9D">
              <w:rPr>
                <w:color w:val="000000"/>
                <w:sz w:val="22"/>
                <w:szCs w:val="22"/>
                <w:lang w:val="uk-UA"/>
              </w:rPr>
              <w:t xml:space="preserve"> (до 3 публічних або внутрішніх презентацій, онлайн та/або </w:t>
            </w:r>
            <w:proofErr w:type="spellStart"/>
            <w:r w:rsidRPr="001F2C9D">
              <w:rPr>
                <w:color w:val="000000"/>
                <w:sz w:val="22"/>
                <w:szCs w:val="22"/>
                <w:lang w:val="uk-UA"/>
              </w:rPr>
              <w:t>офлайн</w:t>
            </w:r>
            <w:proofErr w:type="spellEnd"/>
            <w:r w:rsidRPr="001F2C9D">
              <w:rPr>
                <w:color w:val="000000"/>
                <w:sz w:val="22"/>
                <w:szCs w:val="22"/>
                <w:lang w:val="uk-UA"/>
              </w:rPr>
              <w:t>).</w:t>
            </w:r>
          </w:p>
        </w:tc>
      </w:tr>
      <w:tr w:rsidR="008308A5" w:rsidRPr="001A6B73" w14:paraId="6FDF94D4" w14:textId="77777777" w:rsidTr="003A3409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2A7B9" w14:textId="77777777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0999" w14:textId="77777777" w:rsidR="008308A5" w:rsidRPr="001A6B73" w:rsidRDefault="008308A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FE90" w14:textId="77777777" w:rsidR="008308A5" w:rsidRPr="001A6B73" w:rsidRDefault="008308A5">
            <w:pPr>
              <w:rPr>
                <w:sz w:val="20"/>
                <w:szCs w:val="20"/>
                <w:lang w:val="uk-UA"/>
              </w:rPr>
            </w:pPr>
          </w:p>
        </w:tc>
      </w:tr>
      <w:tr w:rsidR="008308A5" w:rsidRPr="001A6B73" w14:paraId="00FF4997" w14:textId="77777777" w:rsidTr="003A3409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02540" w14:textId="5B213DCA" w:rsidR="008308A5" w:rsidRDefault="00A10322">
            <w:pPr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IV</w:t>
            </w:r>
            <w:r w:rsidRPr="009F069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.  </w:t>
            </w:r>
            <w:r w:rsidR="008308A5" w:rsidRPr="00E456C4"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Очікувані результати дослідження включають:</w:t>
            </w:r>
          </w:p>
          <w:p w14:paraId="48946BFB" w14:textId="77777777" w:rsidR="00E456C4" w:rsidRPr="00E456C4" w:rsidRDefault="00E456C4">
            <w:pPr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</w:pPr>
          </w:p>
        </w:tc>
      </w:tr>
      <w:tr w:rsidR="008308A5" w:rsidRPr="001A6B73" w14:paraId="6BA2DBBC" w14:textId="77777777" w:rsidTr="003A3409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6CB51" w14:textId="3B185251" w:rsidR="008308A5" w:rsidRPr="00E456C4" w:rsidRDefault="008308A5" w:rsidP="00E456C4">
            <w:pPr>
              <w:pStyle w:val="af"/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456C4">
              <w:rPr>
                <w:color w:val="000000"/>
                <w:sz w:val="22"/>
                <w:szCs w:val="22"/>
                <w:lang w:val="uk-UA"/>
              </w:rPr>
              <w:t>Впізнаваність</w:t>
            </w:r>
            <w:proofErr w:type="spellEnd"/>
            <w:r w:rsidRPr="00E456C4">
              <w:rPr>
                <w:color w:val="000000"/>
                <w:sz w:val="22"/>
                <w:szCs w:val="22"/>
                <w:lang w:val="uk-UA"/>
              </w:rPr>
              <w:t xml:space="preserve"> і сприйняття ТЧХУ серед різних категорій населення.</w:t>
            </w:r>
          </w:p>
        </w:tc>
      </w:tr>
      <w:tr w:rsidR="008308A5" w:rsidRPr="001A6B73" w14:paraId="359218A2" w14:textId="77777777" w:rsidTr="003A3409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A385" w14:textId="1936AADE" w:rsidR="008308A5" w:rsidRPr="00E456C4" w:rsidRDefault="008308A5" w:rsidP="00E456C4">
            <w:pPr>
              <w:pStyle w:val="af"/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uk-UA"/>
              </w:rPr>
            </w:pPr>
            <w:r w:rsidRPr="00E456C4">
              <w:rPr>
                <w:color w:val="000000"/>
                <w:sz w:val="22"/>
                <w:szCs w:val="22"/>
                <w:lang w:val="uk-UA"/>
              </w:rPr>
              <w:t>Рівень довіри до ТЧХУ у порівнянні з іншими гуманітарними організаціями.</w:t>
            </w:r>
          </w:p>
        </w:tc>
      </w:tr>
      <w:tr w:rsidR="008308A5" w:rsidRPr="001A6B73" w14:paraId="4B330E1B" w14:textId="77777777" w:rsidTr="003A3409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7C73C" w14:textId="1C42D700" w:rsidR="008308A5" w:rsidRPr="00E456C4" w:rsidRDefault="008308A5" w:rsidP="00E456C4">
            <w:pPr>
              <w:pStyle w:val="af"/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uk-UA"/>
              </w:rPr>
            </w:pPr>
            <w:r w:rsidRPr="00E456C4">
              <w:rPr>
                <w:color w:val="000000"/>
                <w:sz w:val="22"/>
                <w:szCs w:val="22"/>
                <w:lang w:val="uk-UA"/>
              </w:rPr>
              <w:t>Рівень розуміння різниці між ТЧХУ, МКЧХ, МФЧХ та ПНС.</w:t>
            </w:r>
          </w:p>
        </w:tc>
      </w:tr>
      <w:tr w:rsidR="008308A5" w:rsidRPr="001A6B73" w14:paraId="20CCBFD1" w14:textId="77777777" w:rsidTr="003A3409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FC53" w14:textId="27C80A9F" w:rsidR="008308A5" w:rsidRPr="00E456C4" w:rsidRDefault="008308A5" w:rsidP="00E456C4">
            <w:pPr>
              <w:pStyle w:val="af"/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uk-UA"/>
              </w:rPr>
            </w:pPr>
            <w:r w:rsidRPr="00E456C4">
              <w:rPr>
                <w:color w:val="000000"/>
                <w:sz w:val="22"/>
                <w:szCs w:val="22"/>
                <w:lang w:val="uk-UA"/>
              </w:rPr>
              <w:t>Виявлення типових помилкових уявлень, які впливають на імідж організації.</w:t>
            </w:r>
          </w:p>
        </w:tc>
      </w:tr>
      <w:tr w:rsidR="008308A5" w:rsidRPr="001A6B73" w14:paraId="6DBCB32B" w14:textId="77777777" w:rsidTr="00F522E2">
        <w:trPr>
          <w:trHeight w:val="38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7693A" w14:textId="6DD65F7C" w:rsidR="008308A5" w:rsidRPr="00E456C4" w:rsidRDefault="008308A5" w:rsidP="00E456C4">
            <w:pPr>
              <w:pStyle w:val="af"/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uk-UA"/>
              </w:rPr>
            </w:pPr>
            <w:r w:rsidRPr="00E456C4">
              <w:rPr>
                <w:color w:val="000000"/>
                <w:sz w:val="22"/>
                <w:szCs w:val="22"/>
                <w:lang w:val="uk-UA"/>
              </w:rPr>
              <w:t xml:space="preserve">Рекомендації для інформаційної та комунікаційної стратегії ТЧХУ, спрямованої на підвищення </w:t>
            </w:r>
            <w:proofErr w:type="spellStart"/>
            <w:r w:rsidRPr="00E456C4">
              <w:rPr>
                <w:color w:val="000000"/>
                <w:sz w:val="22"/>
                <w:szCs w:val="22"/>
                <w:lang w:val="uk-UA"/>
              </w:rPr>
              <w:t>впізнаваності</w:t>
            </w:r>
            <w:proofErr w:type="spellEnd"/>
            <w:r w:rsidRPr="00E456C4">
              <w:rPr>
                <w:color w:val="000000"/>
                <w:sz w:val="22"/>
                <w:szCs w:val="22"/>
                <w:lang w:val="uk-UA"/>
              </w:rPr>
              <w:t xml:space="preserve"> та подолання непорозумінь щодо його функцій і ролі.</w:t>
            </w:r>
          </w:p>
        </w:tc>
      </w:tr>
      <w:tr w:rsidR="008308A5" w:rsidRPr="001A6B73" w14:paraId="4DC44B71" w14:textId="77777777" w:rsidTr="003A3409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259BA" w14:textId="77777777" w:rsidR="008308A5" w:rsidRPr="001A6B73" w:rsidRDefault="008308A5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1DFE" w14:textId="77777777" w:rsidR="008308A5" w:rsidRPr="001A6B73" w:rsidRDefault="008308A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88FE" w14:textId="77777777" w:rsidR="008308A5" w:rsidRPr="001A6B73" w:rsidRDefault="008308A5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23322CEB" w14:textId="01EED97A" w:rsidR="00F30BA2" w:rsidRPr="00F522E2" w:rsidRDefault="00384805" w:rsidP="00384805">
      <w:pP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</w:pPr>
      <w:r w:rsidRPr="00F522E2"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en-US"/>
        </w:rPr>
        <w:t xml:space="preserve">V. </w:t>
      </w:r>
      <w:r w:rsidR="00F30BA2" w:rsidRPr="00F522E2"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  <w:t>Умови надання цінової пропозиції</w:t>
      </w:r>
    </w:p>
    <w:p w14:paraId="56F1F29C" w14:textId="30A29349" w:rsidR="00F30BA2" w:rsidRPr="00F522E2" w:rsidRDefault="00F30BA2" w:rsidP="00F30BA2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color w:val="000000" w:themeColor="text1"/>
          <w:sz w:val="22"/>
          <w:szCs w:val="22"/>
          <w:lang w:val="uk-UA"/>
        </w:rPr>
      </w:pPr>
      <w:r w:rsidRPr="00F522E2">
        <w:rPr>
          <w:color w:val="000000" w:themeColor="text1"/>
          <w:sz w:val="22"/>
          <w:szCs w:val="22"/>
          <w:lang w:val="uk-UA"/>
        </w:rPr>
        <w:t>Вважається, що Учасник повністю розуміє обсяг надання послуг та гарантує, що вартість всіх необхідних основних та допоміжних послуг та матеріалів повністю врахована у ціновій пропозиції.</w:t>
      </w:r>
    </w:p>
    <w:p w14:paraId="1AF53034" w14:textId="77777777" w:rsidR="00F30BA2" w:rsidRPr="00F522E2" w:rsidRDefault="00F30BA2" w:rsidP="00F30BA2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color w:val="000000" w:themeColor="text1"/>
          <w:sz w:val="22"/>
          <w:szCs w:val="22"/>
          <w:lang w:val="uk-UA"/>
        </w:rPr>
      </w:pPr>
      <w:r w:rsidRPr="00F522E2">
        <w:rPr>
          <w:color w:val="000000" w:themeColor="text1"/>
          <w:sz w:val="22"/>
          <w:szCs w:val="22"/>
          <w:lang w:val="uk-UA"/>
        </w:rPr>
        <w:t>Ціна пропозиції включає всі податки, мита та інші обов’язкові платежі відповідно до законодавства України.</w:t>
      </w:r>
    </w:p>
    <w:p w14:paraId="4B46F316" w14:textId="77777777" w:rsidR="00F30BA2" w:rsidRPr="00F522E2" w:rsidRDefault="00F30BA2" w:rsidP="00F30BA2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b/>
          <w:bCs/>
          <w:color w:val="000000" w:themeColor="text1"/>
          <w:sz w:val="22"/>
          <w:szCs w:val="22"/>
          <w:lang w:val="uk-UA"/>
        </w:rPr>
      </w:pPr>
      <w:r w:rsidRPr="00F522E2">
        <w:rPr>
          <w:sz w:val="22"/>
          <w:szCs w:val="22"/>
          <w:lang w:val="uk-UA"/>
        </w:rPr>
        <w:t xml:space="preserve">Вартість кожного етапу робіт повинна враховувати всі супутні витрати Виконавця, включаючи, але не обмежуючись: </w:t>
      </w:r>
      <w:r w:rsidRPr="00F522E2">
        <w:rPr>
          <w:b/>
          <w:bCs/>
          <w:sz w:val="22"/>
          <w:szCs w:val="22"/>
          <w:lang w:val="uk-UA"/>
        </w:rPr>
        <w:t>консультації, підготовку звітності,</w:t>
      </w:r>
      <w:r w:rsidRPr="00F522E2">
        <w:rPr>
          <w:sz w:val="22"/>
          <w:szCs w:val="22"/>
          <w:lang w:val="uk-UA"/>
        </w:rPr>
        <w:t xml:space="preserve"> </w:t>
      </w:r>
      <w:r w:rsidRPr="00F522E2">
        <w:rPr>
          <w:b/>
          <w:bCs/>
          <w:sz w:val="22"/>
          <w:szCs w:val="22"/>
          <w:lang w:val="uk-UA"/>
        </w:rPr>
        <w:t>відрядження, транспортування, проживання команди Виконавця</w:t>
      </w:r>
      <w:r w:rsidRPr="00F522E2">
        <w:rPr>
          <w:sz w:val="22"/>
          <w:szCs w:val="22"/>
          <w:lang w:val="uk-UA"/>
        </w:rPr>
        <w:t xml:space="preserve"> тощо</w:t>
      </w:r>
      <w:r w:rsidRPr="00F522E2">
        <w:rPr>
          <w:color w:val="000000" w:themeColor="text1"/>
          <w:sz w:val="22"/>
          <w:szCs w:val="22"/>
          <w:lang w:val="uk-UA"/>
        </w:rPr>
        <w:t>.</w:t>
      </w:r>
    </w:p>
    <w:p w14:paraId="4B02E04F" w14:textId="7D665437" w:rsidR="00C65743" w:rsidRPr="00F522E2" w:rsidRDefault="00F30BA2" w:rsidP="00F522E2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color w:val="000000" w:themeColor="text1"/>
          <w:sz w:val="22"/>
          <w:szCs w:val="22"/>
          <w:lang w:val="uk-UA"/>
        </w:rPr>
      </w:pPr>
      <w:r w:rsidRPr="00F522E2">
        <w:rPr>
          <w:color w:val="000000" w:themeColor="text1"/>
          <w:sz w:val="22"/>
          <w:szCs w:val="22"/>
          <w:lang w:val="uk-UA"/>
        </w:rPr>
        <w:t xml:space="preserve">При формуванні ціни Учасник зобов’язаний застосовувати </w:t>
      </w:r>
      <w:r w:rsidRPr="00F522E2">
        <w:rPr>
          <w:b/>
          <w:bCs/>
          <w:color w:val="000000" w:themeColor="text1"/>
          <w:sz w:val="22"/>
          <w:szCs w:val="22"/>
          <w:lang w:val="uk-UA"/>
        </w:rPr>
        <w:t>метод усередненої вартості</w:t>
      </w:r>
      <w:r w:rsidRPr="00F522E2">
        <w:rPr>
          <w:color w:val="000000" w:themeColor="text1"/>
          <w:sz w:val="22"/>
          <w:szCs w:val="22"/>
          <w:lang w:val="uk-UA"/>
        </w:rPr>
        <w:t>, незалежно від регіону України, у який здійснюватимуться відрядження команди Виконавця для виконання завдань  та проведення досліджень</w:t>
      </w:r>
      <w:r w:rsidR="00C80D48">
        <w:rPr>
          <w:color w:val="000000" w:themeColor="text1"/>
          <w:sz w:val="22"/>
          <w:szCs w:val="22"/>
          <w:lang w:val="uk-UA"/>
        </w:rPr>
        <w:t xml:space="preserve"> в регіонах</w:t>
      </w:r>
      <w:r w:rsidRPr="00F522E2">
        <w:rPr>
          <w:color w:val="000000" w:themeColor="text1"/>
          <w:sz w:val="22"/>
          <w:szCs w:val="22"/>
          <w:lang w:val="uk-UA"/>
        </w:rPr>
        <w:t xml:space="preserve"> згідно з технічним завданням. </w:t>
      </w:r>
    </w:p>
    <w:p w14:paraId="6000A9F1" w14:textId="77777777" w:rsidR="00014A5E" w:rsidRDefault="00014A5E" w:rsidP="00BD2CC2">
      <w:pPr>
        <w:ind w:right="140" w:firstLine="567"/>
        <w:jc w:val="both"/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</w:pPr>
    </w:p>
    <w:p w14:paraId="23CD0C03" w14:textId="34CAB7F9" w:rsidR="00BD2CC2" w:rsidRPr="005F2188" w:rsidRDefault="00BD2CC2" w:rsidP="00BD2CC2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0C5298BF" w14:textId="77777777" w:rsidR="00BD2CC2" w:rsidRPr="005F2188" w:rsidRDefault="00BD2CC2" w:rsidP="00BD2CC2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57BAA011" w14:textId="77777777" w:rsidR="00BD2CC2" w:rsidRPr="005F2188" w:rsidRDefault="00BD2CC2" w:rsidP="00BD2CC2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2D9B8D5C" w14:textId="77777777" w:rsidR="00BD2CC2" w:rsidRPr="005F2188" w:rsidRDefault="00BD2CC2" w:rsidP="00BD2CC2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438ACC73" w14:textId="77777777" w:rsidR="00BD2CC2" w:rsidRPr="005F2188" w:rsidRDefault="00BD2CC2" w:rsidP="00BD2CC2">
      <w:pPr>
        <w:ind w:firstLine="567"/>
        <w:rPr>
          <w:color w:val="000000" w:themeColor="text1"/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5F2188">
        <w:rPr>
          <w:lang w:val="uk-UA"/>
        </w:rPr>
        <w:tab/>
      </w:r>
      <w:r w:rsidRPr="005F2188">
        <w:rPr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7F074465" w14:textId="7BD15C6B" w:rsidR="00BD2CC2" w:rsidRPr="005F2188" w:rsidRDefault="00BD2CC2" w:rsidP="005F2188">
      <w:pPr>
        <w:ind w:firstLine="567"/>
        <w:rPr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5F2188">
        <w:rPr>
          <w:sz w:val="22"/>
          <w:szCs w:val="22"/>
          <w:lang w:val="uk-UA"/>
        </w:rPr>
        <w:t>ис</w:t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sz w:val="22"/>
          <w:szCs w:val="22"/>
          <w:lang w:val="uk-UA"/>
        </w:rPr>
        <w:t>ПІБ</w:t>
      </w:r>
    </w:p>
    <w:sectPr w:rsidR="00BD2CC2" w:rsidRPr="005F2188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48EA" w14:textId="77777777" w:rsidR="0014515D" w:rsidRDefault="0014515D" w:rsidP="00B948CF">
      <w:r>
        <w:separator/>
      </w:r>
    </w:p>
  </w:endnote>
  <w:endnote w:type="continuationSeparator" w:id="0">
    <w:p w14:paraId="3E8E1748" w14:textId="77777777" w:rsidR="0014515D" w:rsidRDefault="0014515D" w:rsidP="00B948CF">
      <w:r>
        <w:continuationSeparator/>
      </w:r>
    </w:p>
  </w:endnote>
  <w:endnote w:type="continuationNotice" w:id="1">
    <w:p w14:paraId="22EDC9A8" w14:textId="77777777" w:rsidR="0014515D" w:rsidRDefault="00145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0B23" w14:textId="77777777" w:rsidR="0014515D" w:rsidRDefault="0014515D" w:rsidP="00B948CF">
      <w:r>
        <w:separator/>
      </w:r>
    </w:p>
  </w:footnote>
  <w:footnote w:type="continuationSeparator" w:id="0">
    <w:p w14:paraId="6FF22575" w14:textId="77777777" w:rsidR="0014515D" w:rsidRDefault="0014515D" w:rsidP="00B948CF">
      <w:r>
        <w:continuationSeparator/>
      </w:r>
    </w:p>
  </w:footnote>
  <w:footnote w:type="continuationNotice" w:id="1">
    <w:p w14:paraId="3EB4F668" w14:textId="77777777" w:rsidR="0014515D" w:rsidRDefault="00145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5D6D6D"/>
    <w:multiLevelType w:val="hybridMultilevel"/>
    <w:tmpl w:val="8B2ECB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42E6"/>
    <w:multiLevelType w:val="hybridMultilevel"/>
    <w:tmpl w:val="4E7682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870A2"/>
    <w:multiLevelType w:val="hybridMultilevel"/>
    <w:tmpl w:val="7640FAB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2" w15:restartNumberingAfterBreak="0">
    <w:nsid w:val="316B1141"/>
    <w:multiLevelType w:val="hybridMultilevel"/>
    <w:tmpl w:val="620AA4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D1799"/>
    <w:multiLevelType w:val="hybridMultilevel"/>
    <w:tmpl w:val="F54608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04D1B"/>
    <w:multiLevelType w:val="hybridMultilevel"/>
    <w:tmpl w:val="A4E0BE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26920"/>
    <w:multiLevelType w:val="hybridMultilevel"/>
    <w:tmpl w:val="6860A50C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D085F"/>
    <w:multiLevelType w:val="multilevel"/>
    <w:tmpl w:val="AF80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3" w15:restartNumberingAfterBreak="0">
    <w:nsid w:val="4E3D3478"/>
    <w:multiLevelType w:val="hybridMultilevel"/>
    <w:tmpl w:val="91C6C8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905B7"/>
    <w:multiLevelType w:val="hybridMultilevel"/>
    <w:tmpl w:val="F8823E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31A22"/>
    <w:multiLevelType w:val="hybridMultilevel"/>
    <w:tmpl w:val="7DBE6128"/>
    <w:lvl w:ilvl="0" w:tplc="0422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519A7"/>
    <w:multiLevelType w:val="hybridMultilevel"/>
    <w:tmpl w:val="EBE43226"/>
    <w:lvl w:ilvl="0" w:tplc="0422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9" w15:restartNumberingAfterBreak="0">
    <w:nsid w:val="7F1D50B5"/>
    <w:multiLevelType w:val="hybridMultilevel"/>
    <w:tmpl w:val="DBEA3B86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311056688">
    <w:abstractNumId w:val="5"/>
  </w:num>
  <w:num w:numId="2" w16cid:durableId="1209225609">
    <w:abstractNumId w:val="2"/>
  </w:num>
  <w:num w:numId="3" w16cid:durableId="2140490910">
    <w:abstractNumId w:val="13"/>
  </w:num>
  <w:num w:numId="4" w16cid:durableId="1373579874">
    <w:abstractNumId w:val="27"/>
  </w:num>
  <w:num w:numId="5" w16cid:durableId="555745601">
    <w:abstractNumId w:val="29"/>
  </w:num>
  <w:num w:numId="6" w16cid:durableId="725567586">
    <w:abstractNumId w:val="32"/>
  </w:num>
  <w:num w:numId="7" w16cid:durableId="1595630758">
    <w:abstractNumId w:val="26"/>
  </w:num>
  <w:num w:numId="8" w16cid:durableId="336469480">
    <w:abstractNumId w:val="21"/>
  </w:num>
  <w:num w:numId="9" w16cid:durableId="1980643802">
    <w:abstractNumId w:val="25"/>
  </w:num>
  <w:num w:numId="10" w16cid:durableId="2041977314">
    <w:abstractNumId w:val="22"/>
  </w:num>
  <w:num w:numId="11" w16cid:durableId="1500076154">
    <w:abstractNumId w:val="19"/>
  </w:num>
  <w:num w:numId="12" w16cid:durableId="31619943">
    <w:abstractNumId w:val="34"/>
  </w:num>
  <w:num w:numId="13" w16cid:durableId="1361781468">
    <w:abstractNumId w:val="11"/>
  </w:num>
  <w:num w:numId="14" w16cid:durableId="370031542">
    <w:abstractNumId w:val="6"/>
  </w:num>
  <w:num w:numId="15" w16cid:durableId="1071852785">
    <w:abstractNumId w:val="8"/>
  </w:num>
  <w:num w:numId="16" w16cid:durableId="542669374">
    <w:abstractNumId w:val="31"/>
  </w:num>
  <w:num w:numId="17" w16cid:durableId="886719366">
    <w:abstractNumId w:val="16"/>
  </w:num>
  <w:num w:numId="18" w16cid:durableId="633679338">
    <w:abstractNumId w:val="18"/>
  </w:num>
  <w:num w:numId="19" w16cid:durableId="1309896046">
    <w:abstractNumId w:val="28"/>
  </w:num>
  <w:num w:numId="20" w16cid:durableId="1921986476">
    <w:abstractNumId w:val="3"/>
  </w:num>
  <w:num w:numId="21" w16cid:durableId="598562130">
    <w:abstractNumId w:val="35"/>
  </w:num>
  <w:num w:numId="22" w16cid:durableId="110633945">
    <w:abstractNumId w:val="30"/>
  </w:num>
  <w:num w:numId="23" w16cid:durableId="16469997">
    <w:abstractNumId w:val="37"/>
  </w:num>
  <w:num w:numId="24" w16cid:durableId="1249655854">
    <w:abstractNumId w:val="36"/>
  </w:num>
  <w:num w:numId="25" w16cid:durableId="697197521">
    <w:abstractNumId w:val="10"/>
  </w:num>
  <w:num w:numId="26" w16cid:durableId="349528681">
    <w:abstractNumId w:val="20"/>
  </w:num>
  <w:num w:numId="27" w16cid:durableId="1934510745">
    <w:abstractNumId w:val="9"/>
  </w:num>
  <w:num w:numId="28" w16cid:durableId="1572883760">
    <w:abstractNumId w:val="38"/>
  </w:num>
  <w:num w:numId="29" w16cid:durableId="2124497824">
    <w:abstractNumId w:val="1"/>
  </w:num>
  <w:num w:numId="30" w16cid:durableId="993489637">
    <w:abstractNumId w:val="4"/>
  </w:num>
  <w:num w:numId="31" w16cid:durableId="1567105400">
    <w:abstractNumId w:val="14"/>
  </w:num>
  <w:num w:numId="32" w16cid:durableId="2080324225">
    <w:abstractNumId w:val="7"/>
  </w:num>
  <w:num w:numId="33" w16cid:durableId="1525706867">
    <w:abstractNumId w:val="15"/>
  </w:num>
  <w:num w:numId="34" w16cid:durableId="191960538">
    <w:abstractNumId w:val="39"/>
  </w:num>
  <w:num w:numId="35" w16cid:durableId="934903257">
    <w:abstractNumId w:val="12"/>
  </w:num>
  <w:num w:numId="36" w16cid:durableId="1450665529">
    <w:abstractNumId w:val="24"/>
  </w:num>
  <w:num w:numId="37" w16cid:durableId="382749582">
    <w:abstractNumId w:val="23"/>
  </w:num>
  <w:num w:numId="38" w16cid:durableId="595401895">
    <w:abstractNumId w:val="33"/>
  </w:num>
  <w:num w:numId="39" w16cid:durableId="73080837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4A5E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FFF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B6529"/>
    <w:rsid w:val="000C0060"/>
    <w:rsid w:val="000C154A"/>
    <w:rsid w:val="000C2715"/>
    <w:rsid w:val="000C4FBE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1BF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160D3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515D"/>
    <w:rsid w:val="00146A09"/>
    <w:rsid w:val="00146F38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2C87"/>
    <w:rsid w:val="00193D14"/>
    <w:rsid w:val="0019766B"/>
    <w:rsid w:val="001A065E"/>
    <w:rsid w:val="001A070B"/>
    <w:rsid w:val="001A0901"/>
    <w:rsid w:val="001A296E"/>
    <w:rsid w:val="001A6815"/>
    <w:rsid w:val="001A6B73"/>
    <w:rsid w:val="001B003C"/>
    <w:rsid w:val="001B1399"/>
    <w:rsid w:val="001B3130"/>
    <w:rsid w:val="001B578D"/>
    <w:rsid w:val="001C02E0"/>
    <w:rsid w:val="001C096A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D728F"/>
    <w:rsid w:val="001E14CF"/>
    <w:rsid w:val="001E3152"/>
    <w:rsid w:val="001E393A"/>
    <w:rsid w:val="001F0CD7"/>
    <w:rsid w:val="001F2C9D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1F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036E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B71F5"/>
    <w:rsid w:val="002C1D11"/>
    <w:rsid w:val="002C36E5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2F628F"/>
    <w:rsid w:val="00302684"/>
    <w:rsid w:val="00306279"/>
    <w:rsid w:val="00306EBA"/>
    <w:rsid w:val="003071D5"/>
    <w:rsid w:val="00307ECD"/>
    <w:rsid w:val="0031068F"/>
    <w:rsid w:val="00311D31"/>
    <w:rsid w:val="0031479A"/>
    <w:rsid w:val="003176C6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254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56628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805"/>
    <w:rsid w:val="00385239"/>
    <w:rsid w:val="003854D6"/>
    <w:rsid w:val="00386E13"/>
    <w:rsid w:val="003905AC"/>
    <w:rsid w:val="00394B0A"/>
    <w:rsid w:val="0039580B"/>
    <w:rsid w:val="00396F44"/>
    <w:rsid w:val="00397843"/>
    <w:rsid w:val="003A2C9A"/>
    <w:rsid w:val="003A2E95"/>
    <w:rsid w:val="003A3409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6F4"/>
    <w:rsid w:val="00405840"/>
    <w:rsid w:val="00407051"/>
    <w:rsid w:val="00407D9A"/>
    <w:rsid w:val="004116F5"/>
    <w:rsid w:val="00413191"/>
    <w:rsid w:val="00415FCD"/>
    <w:rsid w:val="004171D2"/>
    <w:rsid w:val="004201EE"/>
    <w:rsid w:val="00424868"/>
    <w:rsid w:val="004262E7"/>
    <w:rsid w:val="00426AAE"/>
    <w:rsid w:val="00426DF2"/>
    <w:rsid w:val="0042787A"/>
    <w:rsid w:val="00431021"/>
    <w:rsid w:val="00431B23"/>
    <w:rsid w:val="00434E38"/>
    <w:rsid w:val="004365F3"/>
    <w:rsid w:val="00437323"/>
    <w:rsid w:val="00437541"/>
    <w:rsid w:val="00437D51"/>
    <w:rsid w:val="00442786"/>
    <w:rsid w:val="00442AE6"/>
    <w:rsid w:val="0044382B"/>
    <w:rsid w:val="004501F2"/>
    <w:rsid w:val="00456E5A"/>
    <w:rsid w:val="0046488C"/>
    <w:rsid w:val="00465079"/>
    <w:rsid w:val="00466AD8"/>
    <w:rsid w:val="00467154"/>
    <w:rsid w:val="00467A47"/>
    <w:rsid w:val="0047143A"/>
    <w:rsid w:val="00472974"/>
    <w:rsid w:val="0047575D"/>
    <w:rsid w:val="0047661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5A22"/>
    <w:rsid w:val="004A6AD7"/>
    <w:rsid w:val="004A7BFF"/>
    <w:rsid w:val="004B0808"/>
    <w:rsid w:val="004B3EA1"/>
    <w:rsid w:val="004B6A3A"/>
    <w:rsid w:val="004C026C"/>
    <w:rsid w:val="004C0310"/>
    <w:rsid w:val="004C2787"/>
    <w:rsid w:val="004C36FB"/>
    <w:rsid w:val="004C4707"/>
    <w:rsid w:val="004C614C"/>
    <w:rsid w:val="004C6DDE"/>
    <w:rsid w:val="004D12AF"/>
    <w:rsid w:val="004D15E6"/>
    <w:rsid w:val="004D3D53"/>
    <w:rsid w:val="004D51C3"/>
    <w:rsid w:val="004E374B"/>
    <w:rsid w:val="004E3E26"/>
    <w:rsid w:val="004E4113"/>
    <w:rsid w:val="004E4B40"/>
    <w:rsid w:val="004E6062"/>
    <w:rsid w:val="004E62DE"/>
    <w:rsid w:val="004E6887"/>
    <w:rsid w:val="004E7B60"/>
    <w:rsid w:val="004E7D16"/>
    <w:rsid w:val="004F083E"/>
    <w:rsid w:val="004F2876"/>
    <w:rsid w:val="004F734B"/>
    <w:rsid w:val="004F7F7D"/>
    <w:rsid w:val="005000CA"/>
    <w:rsid w:val="005018A5"/>
    <w:rsid w:val="00502225"/>
    <w:rsid w:val="0050360D"/>
    <w:rsid w:val="00503F73"/>
    <w:rsid w:val="00504F1B"/>
    <w:rsid w:val="00505251"/>
    <w:rsid w:val="00505D44"/>
    <w:rsid w:val="0051065B"/>
    <w:rsid w:val="00510A63"/>
    <w:rsid w:val="00514676"/>
    <w:rsid w:val="00514BC5"/>
    <w:rsid w:val="00514E6A"/>
    <w:rsid w:val="00515470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5689"/>
    <w:rsid w:val="00535C10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2CD8"/>
    <w:rsid w:val="00553EF0"/>
    <w:rsid w:val="0055456D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4EC0"/>
    <w:rsid w:val="005A5EA1"/>
    <w:rsid w:val="005A5F8A"/>
    <w:rsid w:val="005A67E2"/>
    <w:rsid w:val="005B2451"/>
    <w:rsid w:val="005B4A43"/>
    <w:rsid w:val="005B4D92"/>
    <w:rsid w:val="005B61EC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3E5A"/>
    <w:rsid w:val="005D40DA"/>
    <w:rsid w:val="005D4A11"/>
    <w:rsid w:val="005D4D3F"/>
    <w:rsid w:val="005D5893"/>
    <w:rsid w:val="005D60A6"/>
    <w:rsid w:val="005D7932"/>
    <w:rsid w:val="005E028D"/>
    <w:rsid w:val="005E4AA2"/>
    <w:rsid w:val="005E4B0D"/>
    <w:rsid w:val="005F0064"/>
    <w:rsid w:val="005F2188"/>
    <w:rsid w:val="005F61DA"/>
    <w:rsid w:val="00600975"/>
    <w:rsid w:val="00604420"/>
    <w:rsid w:val="00605C06"/>
    <w:rsid w:val="00606075"/>
    <w:rsid w:val="006077CE"/>
    <w:rsid w:val="0061250E"/>
    <w:rsid w:val="00612B0A"/>
    <w:rsid w:val="00613AA9"/>
    <w:rsid w:val="00613B77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15FA"/>
    <w:rsid w:val="006543F5"/>
    <w:rsid w:val="00655066"/>
    <w:rsid w:val="00655A92"/>
    <w:rsid w:val="00656E1B"/>
    <w:rsid w:val="00660B36"/>
    <w:rsid w:val="00660EA5"/>
    <w:rsid w:val="006628A5"/>
    <w:rsid w:val="006661D4"/>
    <w:rsid w:val="0067076B"/>
    <w:rsid w:val="00677FF7"/>
    <w:rsid w:val="00681743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C22B8"/>
    <w:rsid w:val="006C41C6"/>
    <w:rsid w:val="006C5B71"/>
    <w:rsid w:val="006D05EF"/>
    <w:rsid w:val="006D1224"/>
    <w:rsid w:val="006D14EE"/>
    <w:rsid w:val="006D16EC"/>
    <w:rsid w:val="006D2CFD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16CC"/>
    <w:rsid w:val="0071419A"/>
    <w:rsid w:val="007164C2"/>
    <w:rsid w:val="00716AA1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47DD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283F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B2410"/>
    <w:rsid w:val="007B29F9"/>
    <w:rsid w:val="007C1E85"/>
    <w:rsid w:val="007C2C01"/>
    <w:rsid w:val="007C4F94"/>
    <w:rsid w:val="007C501A"/>
    <w:rsid w:val="007C6856"/>
    <w:rsid w:val="007C79D7"/>
    <w:rsid w:val="007D1677"/>
    <w:rsid w:val="007D260E"/>
    <w:rsid w:val="007D2857"/>
    <w:rsid w:val="007D2DB9"/>
    <w:rsid w:val="007D4479"/>
    <w:rsid w:val="007D4DC6"/>
    <w:rsid w:val="007D5F0E"/>
    <w:rsid w:val="007E0BA4"/>
    <w:rsid w:val="007E714A"/>
    <w:rsid w:val="007F0F03"/>
    <w:rsid w:val="007F2B4D"/>
    <w:rsid w:val="007F4FAA"/>
    <w:rsid w:val="007F5E9B"/>
    <w:rsid w:val="00801A05"/>
    <w:rsid w:val="00802C1E"/>
    <w:rsid w:val="00803765"/>
    <w:rsid w:val="00804876"/>
    <w:rsid w:val="00804920"/>
    <w:rsid w:val="008052AD"/>
    <w:rsid w:val="00805369"/>
    <w:rsid w:val="00807E89"/>
    <w:rsid w:val="00812C23"/>
    <w:rsid w:val="008137D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08A5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46E51"/>
    <w:rsid w:val="00851177"/>
    <w:rsid w:val="0085481F"/>
    <w:rsid w:val="00855960"/>
    <w:rsid w:val="008574ED"/>
    <w:rsid w:val="008606B2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4852"/>
    <w:rsid w:val="008971CE"/>
    <w:rsid w:val="008A1D0A"/>
    <w:rsid w:val="008A2C73"/>
    <w:rsid w:val="008A43A0"/>
    <w:rsid w:val="008A5675"/>
    <w:rsid w:val="008A7FFD"/>
    <w:rsid w:val="008B1875"/>
    <w:rsid w:val="008B1CFA"/>
    <w:rsid w:val="008B1F49"/>
    <w:rsid w:val="008B23EF"/>
    <w:rsid w:val="008B3EAA"/>
    <w:rsid w:val="008B43B4"/>
    <w:rsid w:val="008B4F3E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7669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9E4"/>
    <w:rsid w:val="00921787"/>
    <w:rsid w:val="009227E1"/>
    <w:rsid w:val="00925210"/>
    <w:rsid w:val="00925EA8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2CD8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054"/>
    <w:rsid w:val="00971F17"/>
    <w:rsid w:val="00973B90"/>
    <w:rsid w:val="0097473F"/>
    <w:rsid w:val="009765BD"/>
    <w:rsid w:val="009833B7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28A1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D6328"/>
    <w:rsid w:val="009E0868"/>
    <w:rsid w:val="009E16A6"/>
    <w:rsid w:val="009E37BB"/>
    <w:rsid w:val="009E66A0"/>
    <w:rsid w:val="009E6AC7"/>
    <w:rsid w:val="009F069E"/>
    <w:rsid w:val="009F1FAA"/>
    <w:rsid w:val="009F2507"/>
    <w:rsid w:val="009F6928"/>
    <w:rsid w:val="009F76B8"/>
    <w:rsid w:val="00A00451"/>
    <w:rsid w:val="00A07B0B"/>
    <w:rsid w:val="00A10322"/>
    <w:rsid w:val="00A116E6"/>
    <w:rsid w:val="00A12DE6"/>
    <w:rsid w:val="00A13694"/>
    <w:rsid w:val="00A160F6"/>
    <w:rsid w:val="00A164EB"/>
    <w:rsid w:val="00A217DF"/>
    <w:rsid w:val="00A226D7"/>
    <w:rsid w:val="00A2336D"/>
    <w:rsid w:val="00A25978"/>
    <w:rsid w:val="00A30BC3"/>
    <w:rsid w:val="00A31613"/>
    <w:rsid w:val="00A3721F"/>
    <w:rsid w:val="00A37570"/>
    <w:rsid w:val="00A4036A"/>
    <w:rsid w:val="00A476ED"/>
    <w:rsid w:val="00A50B45"/>
    <w:rsid w:val="00A514CD"/>
    <w:rsid w:val="00A526B6"/>
    <w:rsid w:val="00A52A59"/>
    <w:rsid w:val="00A5452B"/>
    <w:rsid w:val="00A554D5"/>
    <w:rsid w:val="00A56830"/>
    <w:rsid w:val="00A572ED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474A"/>
    <w:rsid w:val="00A85032"/>
    <w:rsid w:val="00A86167"/>
    <w:rsid w:val="00A8646F"/>
    <w:rsid w:val="00A90668"/>
    <w:rsid w:val="00A909E1"/>
    <w:rsid w:val="00A917B4"/>
    <w:rsid w:val="00A92A9D"/>
    <w:rsid w:val="00A95EB6"/>
    <w:rsid w:val="00AA00B6"/>
    <w:rsid w:val="00AA1421"/>
    <w:rsid w:val="00AA3F2E"/>
    <w:rsid w:val="00AA5DA2"/>
    <w:rsid w:val="00AA7CC9"/>
    <w:rsid w:val="00AB321F"/>
    <w:rsid w:val="00AB48B7"/>
    <w:rsid w:val="00AB5249"/>
    <w:rsid w:val="00AB5A95"/>
    <w:rsid w:val="00AB6214"/>
    <w:rsid w:val="00AC1603"/>
    <w:rsid w:val="00AC18AC"/>
    <w:rsid w:val="00AC3441"/>
    <w:rsid w:val="00AC7D68"/>
    <w:rsid w:val="00AD0930"/>
    <w:rsid w:val="00AD0ED0"/>
    <w:rsid w:val="00AD112F"/>
    <w:rsid w:val="00AD29D5"/>
    <w:rsid w:val="00AD3B5F"/>
    <w:rsid w:val="00AD44EA"/>
    <w:rsid w:val="00AD4601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0ADA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4A49"/>
    <w:rsid w:val="00BB4B5E"/>
    <w:rsid w:val="00BB5C47"/>
    <w:rsid w:val="00BB6112"/>
    <w:rsid w:val="00BB663B"/>
    <w:rsid w:val="00BB7CC4"/>
    <w:rsid w:val="00BB7FB4"/>
    <w:rsid w:val="00BC0E85"/>
    <w:rsid w:val="00BC13F3"/>
    <w:rsid w:val="00BC6C5A"/>
    <w:rsid w:val="00BC7172"/>
    <w:rsid w:val="00BD0AE0"/>
    <w:rsid w:val="00BD0B5E"/>
    <w:rsid w:val="00BD2CC2"/>
    <w:rsid w:val="00BD4A0A"/>
    <w:rsid w:val="00BD5101"/>
    <w:rsid w:val="00BD5468"/>
    <w:rsid w:val="00BD5DEC"/>
    <w:rsid w:val="00BD6500"/>
    <w:rsid w:val="00BE1A6F"/>
    <w:rsid w:val="00BE360A"/>
    <w:rsid w:val="00BE3769"/>
    <w:rsid w:val="00BE37BB"/>
    <w:rsid w:val="00BE4927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28F9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4F55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5743"/>
    <w:rsid w:val="00C67B94"/>
    <w:rsid w:val="00C67C6D"/>
    <w:rsid w:val="00C716B6"/>
    <w:rsid w:val="00C72D2A"/>
    <w:rsid w:val="00C76645"/>
    <w:rsid w:val="00C7674A"/>
    <w:rsid w:val="00C76EDE"/>
    <w:rsid w:val="00C774DD"/>
    <w:rsid w:val="00C77A27"/>
    <w:rsid w:val="00C77B64"/>
    <w:rsid w:val="00C80B9D"/>
    <w:rsid w:val="00C80D48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64F6"/>
    <w:rsid w:val="00CD73BB"/>
    <w:rsid w:val="00CE16D0"/>
    <w:rsid w:val="00CE1BC1"/>
    <w:rsid w:val="00CE2179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46D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76194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1807"/>
    <w:rsid w:val="00DD29F7"/>
    <w:rsid w:val="00DD2A95"/>
    <w:rsid w:val="00DD51B8"/>
    <w:rsid w:val="00DE1E0E"/>
    <w:rsid w:val="00DE6CDC"/>
    <w:rsid w:val="00DF07E5"/>
    <w:rsid w:val="00DF0C6C"/>
    <w:rsid w:val="00DF671B"/>
    <w:rsid w:val="00DF7808"/>
    <w:rsid w:val="00E00D9C"/>
    <w:rsid w:val="00E0176F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6C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876EA"/>
    <w:rsid w:val="00E92E46"/>
    <w:rsid w:val="00E944CA"/>
    <w:rsid w:val="00E94B37"/>
    <w:rsid w:val="00E954D6"/>
    <w:rsid w:val="00E96572"/>
    <w:rsid w:val="00EA10CA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F018C"/>
    <w:rsid w:val="00EF061B"/>
    <w:rsid w:val="00EF3C6E"/>
    <w:rsid w:val="00EF43FF"/>
    <w:rsid w:val="00EF4D99"/>
    <w:rsid w:val="00EF7BA2"/>
    <w:rsid w:val="00F00F55"/>
    <w:rsid w:val="00F0201C"/>
    <w:rsid w:val="00F04B6C"/>
    <w:rsid w:val="00F04D0D"/>
    <w:rsid w:val="00F04E96"/>
    <w:rsid w:val="00F07D64"/>
    <w:rsid w:val="00F10CE2"/>
    <w:rsid w:val="00F114B4"/>
    <w:rsid w:val="00F11549"/>
    <w:rsid w:val="00F14814"/>
    <w:rsid w:val="00F14995"/>
    <w:rsid w:val="00F15BCA"/>
    <w:rsid w:val="00F1660B"/>
    <w:rsid w:val="00F214CD"/>
    <w:rsid w:val="00F229E2"/>
    <w:rsid w:val="00F259A2"/>
    <w:rsid w:val="00F2618A"/>
    <w:rsid w:val="00F2673A"/>
    <w:rsid w:val="00F2766E"/>
    <w:rsid w:val="00F27BE6"/>
    <w:rsid w:val="00F27D7D"/>
    <w:rsid w:val="00F30BA2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2E2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BA5"/>
    <w:rsid w:val="00FD2834"/>
    <w:rsid w:val="00FD46EF"/>
    <w:rsid w:val="00FD53F9"/>
    <w:rsid w:val="00FD5FDB"/>
    <w:rsid w:val="00FD63AC"/>
    <w:rsid w:val="00FE32BD"/>
    <w:rsid w:val="00FE3413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0">
    <w:name w:val="Абзац списку Знак"/>
    <w:basedOn w:val="a0"/>
    <w:link w:val="af"/>
    <w:uiPriority w:val="34"/>
    <w:rsid w:val="00F30BA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3667</Words>
  <Characters>26484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5</cp:revision>
  <cp:lastPrinted>2023-12-29T08:52:00Z</cp:lastPrinted>
  <dcterms:created xsi:type="dcterms:W3CDTF">2025-10-09T12:45:00Z</dcterms:created>
  <dcterms:modified xsi:type="dcterms:W3CDTF">2025-10-09T13:04:00Z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  <property fmtid="{D5CDD505-2E9C-101B-9397-08002B2CF9AE}" pid="3" name="GrammarlyDocumentId">
    <vt:lpwstr>b738485a-60a5-4733-9c8e-70c93a746972</vt:lpwstr>
  </property>
</Properties>
</file>