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3C4B1DC6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A30065">
        <w:rPr>
          <w:b/>
          <w:sz w:val="22"/>
          <w:szCs w:val="22"/>
        </w:rPr>
        <w:t>«</w:t>
      </w:r>
      <w:r w:rsidR="00A30065" w:rsidRPr="00A30065">
        <w:rPr>
          <w:b/>
          <w:sz w:val="22"/>
          <w:szCs w:val="22"/>
        </w:rPr>
        <w:t>10</w:t>
      </w:r>
      <w:r w:rsidR="005A5F8A" w:rsidRPr="00A30065">
        <w:rPr>
          <w:b/>
          <w:sz w:val="22"/>
          <w:szCs w:val="22"/>
        </w:rPr>
        <w:t xml:space="preserve">» </w:t>
      </w:r>
      <w:r w:rsidR="00A30065" w:rsidRPr="00A30065">
        <w:rPr>
          <w:b/>
          <w:sz w:val="22"/>
          <w:szCs w:val="22"/>
        </w:rPr>
        <w:t>вересня</w:t>
      </w:r>
      <w:r w:rsidR="005A5F8A" w:rsidRPr="00A30065">
        <w:rPr>
          <w:b/>
          <w:sz w:val="22"/>
          <w:szCs w:val="22"/>
        </w:rPr>
        <w:t xml:space="preserve"> 202</w:t>
      </w:r>
      <w:r w:rsidR="00A30065" w:rsidRPr="00A30065">
        <w:rPr>
          <w:b/>
          <w:sz w:val="22"/>
          <w:szCs w:val="22"/>
        </w:rPr>
        <w:t>5</w:t>
      </w:r>
      <w:r w:rsidR="005A5F8A" w:rsidRPr="00A30065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71855042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8D6C45" w:rsidRPr="008D6C45">
        <w:rPr>
          <w:b/>
          <w:bCs/>
          <w:color w:val="000000" w:themeColor="text1"/>
          <w:sz w:val="22"/>
          <w:szCs w:val="22"/>
        </w:rPr>
        <w:t>2244</w:t>
      </w:r>
      <w:r w:rsidR="008D6C45" w:rsidRPr="008D6C45">
        <w:rPr>
          <w:b/>
          <w:bCs/>
          <w:color w:val="000000" w:themeColor="text1"/>
          <w:sz w:val="22"/>
          <w:szCs w:val="22"/>
          <w:lang w:val="en-US"/>
        </w:rPr>
        <w:t>NM</w:t>
      </w:r>
      <w:r w:rsidR="00AB5249" w:rsidRPr="008D6C45">
        <w:rPr>
          <w:b/>
          <w:bCs/>
          <w:color w:val="000000" w:themeColor="text1"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04D274B5" w14:textId="77777777" w:rsidR="00873516" w:rsidRDefault="004C2787" w:rsidP="00873516">
      <w:pPr>
        <w:ind w:right="54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proofErr w:type="spellStart"/>
      <w:r w:rsidR="00873516" w:rsidRPr="009469BB">
        <w:rPr>
          <w:spacing w:val="-4"/>
          <w:sz w:val="22"/>
          <w:szCs w:val="22"/>
        </w:rPr>
        <w:t>брендованих</w:t>
      </w:r>
      <w:proofErr w:type="spellEnd"/>
      <w:r w:rsidR="00873516" w:rsidRPr="009469BB">
        <w:rPr>
          <w:spacing w:val="-4"/>
          <w:sz w:val="22"/>
          <w:szCs w:val="22"/>
        </w:rPr>
        <w:t xml:space="preserve"> боксів та стендів, призначених для збору благодійних внесків</w:t>
      </w:r>
      <w:r w:rsidR="00873516">
        <w:rPr>
          <w:spacing w:val="-4"/>
          <w:sz w:val="22"/>
          <w:szCs w:val="22"/>
        </w:rPr>
        <w:t>.</w:t>
      </w:r>
    </w:p>
    <w:p w14:paraId="20041623" w14:textId="77777777" w:rsidR="00873516" w:rsidRDefault="00873516" w:rsidP="00873516">
      <w:pPr>
        <w:ind w:right="-306" w:firstLine="567"/>
        <w:jc w:val="both"/>
        <w:rPr>
          <w:b/>
          <w:sz w:val="22"/>
          <w:szCs w:val="22"/>
        </w:rPr>
      </w:pPr>
    </w:p>
    <w:p w14:paraId="3738D1C3" w14:textId="2DD58402" w:rsidR="004C2787" w:rsidRPr="000B48D8" w:rsidRDefault="00370791" w:rsidP="00873516">
      <w:pPr>
        <w:ind w:right="-306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140"/>
        <w:gridCol w:w="1393"/>
        <w:gridCol w:w="4255"/>
      </w:tblGrid>
      <w:tr w:rsidR="004C2787" w:rsidRPr="000B48D8" w14:paraId="56DE4E59" w14:textId="77777777" w:rsidTr="00791F7D">
        <w:trPr>
          <w:trHeight w:val="722"/>
          <w:jc w:val="center"/>
        </w:trPr>
        <w:tc>
          <w:tcPr>
            <w:tcW w:w="432" w:type="dxa"/>
            <w:shd w:val="clear" w:color="auto" w:fill="E7E6E6"/>
            <w:vAlign w:val="center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289" w:type="dxa"/>
            <w:shd w:val="clear" w:color="auto" w:fill="E7E6E6"/>
            <w:vAlign w:val="center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1086" w:type="dxa"/>
            <w:shd w:val="clear" w:color="auto" w:fill="E7E6E6"/>
            <w:vAlign w:val="center"/>
          </w:tcPr>
          <w:p w14:paraId="69C160CB" w14:textId="441B909E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6145B3">
              <w:rPr>
                <w:b/>
                <w:bCs/>
                <w:spacing w:val="-6"/>
                <w:sz w:val="22"/>
                <w:szCs w:val="22"/>
              </w:rPr>
              <w:t xml:space="preserve"> конструкцій</w:t>
            </w:r>
          </w:p>
        </w:tc>
        <w:tc>
          <w:tcPr>
            <w:tcW w:w="4413" w:type="dxa"/>
            <w:shd w:val="clear" w:color="auto" w:fill="E7E6E6"/>
            <w:vAlign w:val="center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9166D2" w:rsidRPr="000B48D8" w14:paraId="0F594BD0" w14:textId="77777777" w:rsidTr="00791F7D">
        <w:trPr>
          <w:trHeight w:val="571"/>
          <w:jc w:val="center"/>
        </w:trPr>
        <w:tc>
          <w:tcPr>
            <w:tcW w:w="432" w:type="dxa"/>
            <w:vAlign w:val="center"/>
          </w:tcPr>
          <w:p w14:paraId="29708A12" w14:textId="77777777" w:rsidR="009166D2" w:rsidRPr="000B48D8" w:rsidRDefault="009166D2" w:rsidP="009166D2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289" w:type="dxa"/>
            <w:vAlign w:val="center"/>
          </w:tcPr>
          <w:p w14:paraId="4D4D7DF2" w14:textId="77777777" w:rsidR="006145B3" w:rsidRDefault="009166D2" w:rsidP="009166D2">
            <w:pPr>
              <w:ind w:right="92"/>
              <w:rPr>
                <w:spacing w:val="-6"/>
                <w:sz w:val="22"/>
                <w:szCs w:val="22"/>
              </w:rPr>
            </w:pPr>
            <w:r w:rsidRPr="00343A5A">
              <w:rPr>
                <w:spacing w:val="-6"/>
                <w:sz w:val="22"/>
                <w:szCs w:val="22"/>
              </w:rPr>
              <w:t xml:space="preserve">Бокс </w:t>
            </w:r>
            <w:r w:rsidRPr="00CE03F7">
              <w:rPr>
                <w:spacing w:val="-4"/>
                <w:sz w:val="22"/>
                <w:szCs w:val="22"/>
              </w:rPr>
              <w:t xml:space="preserve">для збору </w:t>
            </w:r>
            <w:proofErr w:type="spellStart"/>
            <w:r w:rsidRPr="00CE03F7">
              <w:rPr>
                <w:spacing w:val="-4"/>
                <w:sz w:val="22"/>
                <w:szCs w:val="22"/>
              </w:rPr>
              <w:t>донатів</w:t>
            </w:r>
            <w:proofErr w:type="spellEnd"/>
            <w:r w:rsidRPr="00343A5A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 xml:space="preserve"> </w:t>
            </w:r>
          </w:p>
          <w:p w14:paraId="5D6D90EE" w14:textId="6ED3C585" w:rsidR="009166D2" w:rsidRPr="000B48D8" w:rsidRDefault="009166D2" w:rsidP="009166D2">
            <w:pPr>
              <w:ind w:right="92"/>
              <w:rPr>
                <w:spacing w:val="-6"/>
                <w:sz w:val="22"/>
                <w:szCs w:val="22"/>
              </w:rPr>
            </w:pPr>
            <w:r w:rsidRPr="00343A5A">
              <w:rPr>
                <w:spacing w:val="-6"/>
                <w:sz w:val="22"/>
                <w:szCs w:val="22"/>
              </w:rPr>
              <w:t>"</w:t>
            </w:r>
            <w:r w:rsidRPr="000E2691">
              <w:rPr>
                <w:b/>
                <w:bCs/>
                <w:spacing w:val="-6"/>
                <w:sz w:val="22"/>
                <w:szCs w:val="22"/>
              </w:rPr>
              <w:t>Ваш Плюс</w:t>
            </w:r>
            <w:r w:rsidRPr="000E2691">
              <w:rPr>
                <w:spacing w:val="-6"/>
                <w:sz w:val="22"/>
                <w:szCs w:val="22"/>
              </w:rPr>
              <w:t>"</w:t>
            </w:r>
            <w:r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4F5DE3BC" w14:textId="25529A01" w:rsidR="009166D2" w:rsidRPr="00E05CF5" w:rsidRDefault="00927AB5" w:rsidP="009166D2">
            <w:pPr>
              <w:ind w:right="-5" w:hanging="104"/>
              <w:jc w:val="center"/>
              <w:rPr>
                <w:b/>
                <w:spacing w:val="-6"/>
                <w:sz w:val="22"/>
                <w:szCs w:val="22"/>
              </w:rPr>
            </w:pPr>
            <w:r w:rsidRPr="00E05CF5">
              <w:rPr>
                <w:b/>
                <w:spacing w:val="-6"/>
                <w:sz w:val="22"/>
                <w:szCs w:val="22"/>
              </w:rPr>
              <w:t>145</w:t>
            </w:r>
          </w:p>
        </w:tc>
        <w:tc>
          <w:tcPr>
            <w:tcW w:w="4413" w:type="dxa"/>
            <w:vMerge w:val="restart"/>
            <w:vAlign w:val="center"/>
          </w:tcPr>
          <w:p w14:paraId="2B49A15F" w14:textId="77777777" w:rsidR="009166D2" w:rsidRDefault="009166D2" w:rsidP="009166D2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</w:t>
            </w:r>
          </w:p>
          <w:p w14:paraId="0112FC43" w14:textId="0846A9E0" w:rsidR="009166D2" w:rsidRPr="00264A22" w:rsidRDefault="00791F7D" w:rsidP="009166D2">
            <w:pPr>
              <w:ind w:right="-5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Форма цінової пропозиції </w:t>
            </w:r>
            <w:r w:rsidR="00E1543A">
              <w:rPr>
                <w:b/>
                <w:spacing w:val="-6"/>
                <w:sz w:val="22"/>
                <w:szCs w:val="22"/>
              </w:rPr>
              <w:t xml:space="preserve"> - </w:t>
            </w:r>
            <w:r w:rsidR="009166D2" w:rsidRPr="00264A22">
              <w:rPr>
                <w:b/>
                <w:spacing w:val="-6"/>
                <w:sz w:val="22"/>
                <w:szCs w:val="22"/>
              </w:rPr>
              <w:t>Додат</w:t>
            </w:r>
            <w:r w:rsidR="00E1543A">
              <w:rPr>
                <w:b/>
                <w:spacing w:val="-6"/>
                <w:sz w:val="22"/>
                <w:szCs w:val="22"/>
              </w:rPr>
              <w:t>ок</w:t>
            </w:r>
            <w:r w:rsidR="009166D2" w:rsidRPr="00264A22">
              <w:rPr>
                <w:b/>
                <w:spacing w:val="-6"/>
                <w:sz w:val="22"/>
                <w:szCs w:val="22"/>
              </w:rPr>
              <w:t xml:space="preserve"> №3 </w:t>
            </w:r>
          </w:p>
          <w:p w14:paraId="292F9ECD" w14:textId="4F63D187" w:rsidR="009166D2" w:rsidRPr="00264A22" w:rsidRDefault="00E1543A" w:rsidP="009166D2">
            <w:pPr>
              <w:ind w:right="-5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Технічна специфікація - </w:t>
            </w:r>
            <w:r w:rsidR="009166D2" w:rsidRPr="00264A22">
              <w:rPr>
                <w:b/>
                <w:spacing w:val="-6"/>
                <w:sz w:val="22"/>
                <w:szCs w:val="22"/>
              </w:rPr>
              <w:t>Додат</w:t>
            </w:r>
            <w:r>
              <w:rPr>
                <w:b/>
                <w:spacing w:val="-6"/>
                <w:sz w:val="22"/>
                <w:szCs w:val="22"/>
              </w:rPr>
              <w:t>ок</w:t>
            </w:r>
            <w:r w:rsidR="009166D2" w:rsidRPr="00264A22">
              <w:rPr>
                <w:b/>
                <w:spacing w:val="-6"/>
                <w:sz w:val="22"/>
                <w:szCs w:val="22"/>
              </w:rPr>
              <w:t xml:space="preserve"> №4</w:t>
            </w:r>
          </w:p>
          <w:p w14:paraId="345392E0" w14:textId="75668480" w:rsidR="009166D2" w:rsidRPr="00264A22" w:rsidRDefault="00E1543A" w:rsidP="009166D2">
            <w:pPr>
              <w:ind w:right="-5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Розподіл </w:t>
            </w:r>
            <w:r w:rsidR="006F1306">
              <w:rPr>
                <w:b/>
                <w:spacing w:val="-6"/>
                <w:sz w:val="22"/>
                <w:szCs w:val="22"/>
              </w:rPr>
              <w:t>продукції</w:t>
            </w:r>
            <w:r w:rsidR="00B33F8A">
              <w:rPr>
                <w:b/>
                <w:spacing w:val="-6"/>
                <w:sz w:val="22"/>
                <w:szCs w:val="22"/>
              </w:rPr>
              <w:t>– Додаток</w:t>
            </w:r>
            <w:r w:rsidR="009166D2" w:rsidRPr="00264A22">
              <w:rPr>
                <w:b/>
                <w:spacing w:val="-6"/>
                <w:sz w:val="22"/>
                <w:szCs w:val="22"/>
              </w:rPr>
              <w:t xml:space="preserve"> №5 </w:t>
            </w:r>
          </w:p>
          <w:p w14:paraId="5FF68500" w14:textId="50645667" w:rsidR="009166D2" w:rsidRPr="00A3721F" w:rsidRDefault="009166D2" w:rsidP="009166D2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Pr="3B05C1BB">
              <w:rPr>
                <w:spacing w:val="-6"/>
                <w:sz w:val="22"/>
                <w:szCs w:val="22"/>
              </w:rPr>
              <w:t>Тендер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  <w:tr w:rsidR="009166D2" w:rsidRPr="000B48D8" w14:paraId="34F9C415" w14:textId="77777777" w:rsidTr="00791F7D">
        <w:trPr>
          <w:trHeight w:val="565"/>
          <w:jc w:val="center"/>
        </w:trPr>
        <w:tc>
          <w:tcPr>
            <w:tcW w:w="432" w:type="dxa"/>
            <w:vAlign w:val="center"/>
          </w:tcPr>
          <w:p w14:paraId="0D3B5EA5" w14:textId="1DA7C7AF" w:rsidR="009166D2" w:rsidRPr="000B48D8" w:rsidRDefault="009166D2" w:rsidP="009166D2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4289" w:type="dxa"/>
            <w:vAlign w:val="center"/>
          </w:tcPr>
          <w:p w14:paraId="704CED56" w14:textId="77777777" w:rsidR="006145B3" w:rsidRDefault="009166D2" w:rsidP="009166D2">
            <w:pPr>
              <w:ind w:right="92"/>
              <w:rPr>
                <w:spacing w:val="-6"/>
                <w:sz w:val="22"/>
                <w:szCs w:val="22"/>
              </w:rPr>
            </w:pPr>
            <w:r w:rsidRPr="00F825C5">
              <w:rPr>
                <w:spacing w:val="-6"/>
                <w:sz w:val="22"/>
                <w:szCs w:val="22"/>
              </w:rPr>
              <w:t xml:space="preserve">Бокс </w:t>
            </w:r>
            <w:r w:rsidRPr="00CE03F7">
              <w:rPr>
                <w:spacing w:val="-4"/>
                <w:sz w:val="22"/>
                <w:szCs w:val="22"/>
              </w:rPr>
              <w:t xml:space="preserve">для збору </w:t>
            </w:r>
            <w:proofErr w:type="spellStart"/>
            <w:r w:rsidRPr="00CE03F7">
              <w:rPr>
                <w:spacing w:val="-4"/>
                <w:sz w:val="22"/>
                <w:szCs w:val="22"/>
              </w:rPr>
              <w:t>донатів</w:t>
            </w:r>
            <w:proofErr w:type="spellEnd"/>
            <w:r w:rsidRPr="00343A5A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 xml:space="preserve"> </w:t>
            </w:r>
          </w:p>
          <w:p w14:paraId="39AA9331" w14:textId="30E585DB" w:rsidR="009166D2" w:rsidRPr="000B48D8" w:rsidRDefault="009166D2" w:rsidP="009166D2">
            <w:pPr>
              <w:ind w:right="92"/>
              <w:rPr>
                <w:spacing w:val="-6"/>
                <w:sz w:val="22"/>
                <w:szCs w:val="22"/>
              </w:rPr>
            </w:pPr>
            <w:r w:rsidRPr="000E2691">
              <w:rPr>
                <w:b/>
                <w:bCs/>
                <w:spacing w:val="-6"/>
                <w:sz w:val="22"/>
                <w:szCs w:val="22"/>
              </w:rPr>
              <w:t xml:space="preserve">"Воронка </w:t>
            </w:r>
            <w:proofErr w:type="spellStart"/>
            <w:r w:rsidRPr="000E2691">
              <w:rPr>
                <w:b/>
                <w:bCs/>
                <w:spacing w:val="-6"/>
                <w:sz w:val="22"/>
                <w:szCs w:val="22"/>
              </w:rPr>
              <w:t>донатів</w:t>
            </w:r>
            <w:proofErr w:type="spellEnd"/>
            <w:r w:rsidRPr="000E2691">
              <w:rPr>
                <w:b/>
                <w:bCs/>
                <w:spacing w:val="-6"/>
                <w:sz w:val="22"/>
                <w:szCs w:val="22"/>
              </w:rPr>
              <w:t>"</w:t>
            </w:r>
            <w:r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5FDDA1EE" w14:textId="07194317" w:rsidR="009166D2" w:rsidRPr="00E05CF5" w:rsidRDefault="00927AB5" w:rsidP="009166D2">
            <w:pPr>
              <w:ind w:right="-5" w:hanging="104"/>
              <w:jc w:val="center"/>
              <w:rPr>
                <w:b/>
                <w:spacing w:val="-6"/>
                <w:sz w:val="22"/>
                <w:szCs w:val="22"/>
              </w:rPr>
            </w:pPr>
            <w:r w:rsidRPr="00E05CF5">
              <w:rPr>
                <w:b/>
                <w:spacing w:val="-6"/>
                <w:sz w:val="22"/>
                <w:szCs w:val="22"/>
              </w:rPr>
              <w:t>75</w:t>
            </w:r>
          </w:p>
        </w:tc>
        <w:tc>
          <w:tcPr>
            <w:tcW w:w="4413" w:type="dxa"/>
            <w:vMerge/>
            <w:vAlign w:val="center"/>
          </w:tcPr>
          <w:p w14:paraId="549A0D36" w14:textId="77777777" w:rsidR="009166D2" w:rsidRPr="00A3721F" w:rsidRDefault="009166D2" w:rsidP="009166D2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9166D2" w:rsidRPr="000B48D8" w14:paraId="563BEF61" w14:textId="77777777" w:rsidTr="00807F5A">
        <w:trPr>
          <w:trHeight w:val="551"/>
          <w:jc w:val="center"/>
        </w:trPr>
        <w:tc>
          <w:tcPr>
            <w:tcW w:w="432" w:type="dxa"/>
            <w:vAlign w:val="center"/>
          </w:tcPr>
          <w:p w14:paraId="2C6DA60D" w14:textId="48A4379A" w:rsidR="009166D2" w:rsidRPr="000B48D8" w:rsidRDefault="009166D2" w:rsidP="009166D2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4289" w:type="dxa"/>
            <w:vAlign w:val="center"/>
          </w:tcPr>
          <w:p w14:paraId="116EE304" w14:textId="77777777" w:rsidR="006145B3" w:rsidRDefault="009166D2" w:rsidP="009166D2">
            <w:pPr>
              <w:ind w:right="92"/>
              <w:rPr>
                <w:spacing w:val="-6"/>
                <w:sz w:val="22"/>
                <w:szCs w:val="22"/>
              </w:rPr>
            </w:pPr>
            <w:r w:rsidRPr="00050A85">
              <w:rPr>
                <w:spacing w:val="-6"/>
                <w:sz w:val="22"/>
                <w:szCs w:val="22"/>
              </w:rPr>
              <w:t xml:space="preserve">Бокс </w:t>
            </w:r>
            <w:r w:rsidRPr="00CE03F7">
              <w:rPr>
                <w:spacing w:val="-4"/>
                <w:sz w:val="22"/>
                <w:szCs w:val="22"/>
              </w:rPr>
              <w:t xml:space="preserve">для збору </w:t>
            </w:r>
            <w:proofErr w:type="spellStart"/>
            <w:r w:rsidRPr="00CE03F7">
              <w:rPr>
                <w:spacing w:val="-4"/>
                <w:sz w:val="22"/>
                <w:szCs w:val="22"/>
              </w:rPr>
              <w:t>донатів</w:t>
            </w:r>
            <w:proofErr w:type="spellEnd"/>
            <w:r w:rsidRPr="00343A5A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 xml:space="preserve"> </w:t>
            </w:r>
          </w:p>
          <w:p w14:paraId="05881446" w14:textId="5239E0B8" w:rsidR="009166D2" w:rsidRPr="000B48D8" w:rsidRDefault="009166D2" w:rsidP="009166D2">
            <w:pPr>
              <w:ind w:right="92"/>
              <w:rPr>
                <w:spacing w:val="-6"/>
                <w:sz w:val="22"/>
                <w:szCs w:val="22"/>
              </w:rPr>
            </w:pPr>
            <w:r w:rsidRPr="000E2691">
              <w:rPr>
                <w:b/>
                <w:bCs/>
                <w:spacing w:val="-6"/>
                <w:sz w:val="22"/>
                <w:szCs w:val="22"/>
              </w:rPr>
              <w:t xml:space="preserve">"Маленький </w:t>
            </w:r>
            <w:proofErr w:type="spellStart"/>
            <w:r w:rsidRPr="000E2691">
              <w:rPr>
                <w:b/>
                <w:bCs/>
                <w:spacing w:val="-6"/>
                <w:sz w:val="22"/>
                <w:szCs w:val="22"/>
              </w:rPr>
              <w:t>донатний</w:t>
            </w:r>
            <w:proofErr w:type="spellEnd"/>
            <w:r w:rsidRPr="000E269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E2691">
              <w:rPr>
                <w:b/>
                <w:bCs/>
                <w:spacing w:val="-6"/>
                <w:sz w:val="22"/>
                <w:szCs w:val="22"/>
              </w:rPr>
              <w:t>пінбол</w:t>
            </w:r>
            <w:proofErr w:type="spellEnd"/>
            <w:r w:rsidRPr="000E2691">
              <w:rPr>
                <w:b/>
                <w:bCs/>
                <w:spacing w:val="-6"/>
                <w:sz w:val="22"/>
                <w:szCs w:val="22"/>
              </w:rPr>
              <w:t>"</w:t>
            </w:r>
          </w:p>
        </w:tc>
        <w:tc>
          <w:tcPr>
            <w:tcW w:w="1086" w:type="dxa"/>
            <w:vAlign w:val="center"/>
          </w:tcPr>
          <w:p w14:paraId="507E62D9" w14:textId="0D5BB777" w:rsidR="009166D2" w:rsidRPr="00E05CF5" w:rsidRDefault="00927AB5" w:rsidP="009166D2">
            <w:pPr>
              <w:ind w:right="-5" w:hanging="104"/>
              <w:jc w:val="center"/>
              <w:rPr>
                <w:b/>
                <w:spacing w:val="-6"/>
                <w:sz w:val="22"/>
                <w:szCs w:val="22"/>
              </w:rPr>
            </w:pPr>
            <w:r w:rsidRPr="00E05CF5">
              <w:rPr>
                <w:b/>
                <w:spacing w:val="-6"/>
                <w:sz w:val="22"/>
                <w:szCs w:val="22"/>
              </w:rPr>
              <w:t>55</w:t>
            </w:r>
          </w:p>
        </w:tc>
        <w:tc>
          <w:tcPr>
            <w:tcW w:w="4413" w:type="dxa"/>
            <w:vMerge/>
            <w:vAlign w:val="center"/>
          </w:tcPr>
          <w:p w14:paraId="1BA2F920" w14:textId="77777777" w:rsidR="009166D2" w:rsidRPr="00A3721F" w:rsidRDefault="009166D2" w:rsidP="009166D2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9166D2" w:rsidRPr="000B48D8" w14:paraId="63BDD26C" w14:textId="77777777" w:rsidTr="00791F7D">
        <w:trPr>
          <w:trHeight w:val="533"/>
          <w:jc w:val="center"/>
        </w:trPr>
        <w:tc>
          <w:tcPr>
            <w:tcW w:w="432" w:type="dxa"/>
            <w:vAlign w:val="center"/>
          </w:tcPr>
          <w:p w14:paraId="79167B36" w14:textId="5EF5DD2B" w:rsidR="009166D2" w:rsidRPr="000B48D8" w:rsidRDefault="009166D2" w:rsidP="009166D2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4289" w:type="dxa"/>
            <w:vAlign w:val="center"/>
          </w:tcPr>
          <w:p w14:paraId="6E81C2B2" w14:textId="410D45A4" w:rsidR="009166D2" w:rsidRPr="000B48D8" w:rsidRDefault="009166D2" w:rsidP="009166D2">
            <w:pPr>
              <w:ind w:right="92"/>
              <w:rPr>
                <w:spacing w:val="-6"/>
                <w:sz w:val="22"/>
                <w:szCs w:val="22"/>
              </w:rPr>
            </w:pPr>
            <w:r w:rsidRPr="000E2691">
              <w:rPr>
                <w:spacing w:val="-6"/>
                <w:sz w:val="22"/>
                <w:szCs w:val="22"/>
              </w:rPr>
              <w:t>Стенд "</w:t>
            </w:r>
            <w:r w:rsidRPr="000E2691">
              <w:rPr>
                <w:b/>
                <w:bCs/>
                <w:spacing w:val="-6"/>
                <w:sz w:val="22"/>
                <w:szCs w:val="22"/>
              </w:rPr>
              <w:t xml:space="preserve">Великий </w:t>
            </w:r>
            <w:proofErr w:type="spellStart"/>
            <w:r w:rsidRPr="000E2691">
              <w:rPr>
                <w:b/>
                <w:bCs/>
                <w:spacing w:val="-6"/>
                <w:sz w:val="22"/>
                <w:szCs w:val="22"/>
              </w:rPr>
              <w:t>донатний</w:t>
            </w:r>
            <w:proofErr w:type="spellEnd"/>
            <w:r w:rsidRPr="000E269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E2691">
              <w:rPr>
                <w:b/>
                <w:bCs/>
                <w:spacing w:val="-6"/>
                <w:sz w:val="22"/>
                <w:szCs w:val="22"/>
              </w:rPr>
              <w:t>пінбол</w:t>
            </w:r>
            <w:proofErr w:type="spellEnd"/>
            <w:r w:rsidRPr="000E2691">
              <w:rPr>
                <w:b/>
                <w:bCs/>
                <w:spacing w:val="-6"/>
                <w:sz w:val="22"/>
                <w:szCs w:val="22"/>
              </w:rPr>
              <w:t>"</w:t>
            </w:r>
          </w:p>
        </w:tc>
        <w:tc>
          <w:tcPr>
            <w:tcW w:w="1086" w:type="dxa"/>
            <w:vAlign w:val="center"/>
          </w:tcPr>
          <w:p w14:paraId="03171F14" w14:textId="54DAA936" w:rsidR="009166D2" w:rsidRPr="00E05CF5" w:rsidRDefault="00E05CF5" w:rsidP="009166D2">
            <w:pPr>
              <w:ind w:right="-5" w:hanging="104"/>
              <w:jc w:val="center"/>
              <w:rPr>
                <w:b/>
                <w:spacing w:val="-6"/>
                <w:sz w:val="22"/>
                <w:szCs w:val="22"/>
              </w:rPr>
            </w:pPr>
            <w:r w:rsidRPr="00E05CF5">
              <w:rPr>
                <w:b/>
                <w:spacing w:val="-6"/>
                <w:sz w:val="22"/>
                <w:szCs w:val="22"/>
              </w:rPr>
              <w:t>40</w:t>
            </w:r>
          </w:p>
        </w:tc>
        <w:tc>
          <w:tcPr>
            <w:tcW w:w="4413" w:type="dxa"/>
            <w:vMerge/>
            <w:vAlign w:val="center"/>
          </w:tcPr>
          <w:p w14:paraId="290FF1D9" w14:textId="77777777" w:rsidR="009166D2" w:rsidRPr="00A3721F" w:rsidRDefault="009166D2" w:rsidP="009166D2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00729520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</w:t>
      </w:r>
      <w:r w:rsidR="000B1894" w:rsidRPr="000B1894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0B1894" w:rsidRPr="008A7801">
        <w:rPr>
          <w:i/>
          <w:iCs/>
          <w:color w:val="000000"/>
          <w:sz w:val="20"/>
          <w:szCs w:val="20"/>
          <w:lang w:eastAsia="uk-UA"/>
        </w:rPr>
        <w:t xml:space="preserve">Закупівля здійснюється </w:t>
      </w:r>
      <w:r w:rsidR="000B1894">
        <w:rPr>
          <w:i/>
          <w:iCs/>
          <w:color w:val="000000"/>
          <w:sz w:val="20"/>
          <w:szCs w:val="20"/>
          <w:lang w:eastAsia="uk-UA"/>
        </w:rPr>
        <w:t>одним лотом</w:t>
      </w:r>
      <w:r w:rsidR="000B1894" w:rsidRPr="008A7801">
        <w:rPr>
          <w:i/>
          <w:iCs/>
          <w:color w:val="000000"/>
          <w:sz w:val="20"/>
          <w:szCs w:val="20"/>
          <w:lang w:eastAsia="uk-UA"/>
        </w:rPr>
        <w:t>.</w:t>
      </w:r>
    </w:p>
    <w:p w14:paraId="7BAFD389" w14:textId="77777777" w:rsidR="00AC4086" w:rsidRPr="002A4557" w:rsidRDefault="00AC4086" w:rsidP="00AC4086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 дата</w:t>
      </w:r>
      <w:r w:rsidRPr="005A5F8A">
        <w:rPr>
          <w:b/>
          <w:sz w:val="22"/>
          <w:szCs w:val="22"/>
        </w:rPr>
        <w:t xml:space="preserve"> поставки товарів: </w:t>
      </w:r>
      <w:r w:rsidRPr="004E7456">
        <w:rPr>
          <w:bCs/>
          <w:sz w:val="22"/>
          <w:szCs w:val="22"/>
        </w:rPr>
        <w:t xml:space="preserve">до </w:t>
      </w:r>
      <w:r>
        <w:rPr>
          <w:bCs/>
          <w:sz w:val="22"/>
          <w:szCs w:val="22"/>
        </w:rPr>
        <w:t>30</w:t>
      </w:r>
      <w:r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>
        <w:rPr>
          <w:bCs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23531B45" w14:textId="77777777" w:rsidR="00AC4086" w:rsidRPr="00235FAF" w:rsidRDefault="00AC4086" w:rsidP="00AC4086">
      <w:pPr>
        <w:spacing w:before="76" w:line="250" w:lineRule="exact"/>
        <w:ind w:right="-23" w:firstLine="567"/>
        <w:jc w:val="both"/>
        <w:rPr>
          <w:b/>
          <w:bCs/>
          <w:i/>
          <w:iCs/>
          <w:color w:val="FF0000"/>
          <w:sz w:val="22"/>
          <w:szCs w:val="22"/>
        </w:rPr>
      </w:pPr>
      <w:r w:rsidRPr="005A5F8A">
        <w:rPr>
          <w:b/>
          <w:sz w:val="22"/>
          <w:szCs w:val="22"/>
        </w:rPr>
        <w:t xml:space="preserve">Місце </w:t>
      </w:r>
      <w:r>
        <w:rPr>
          <w:b/>
          <w:sz w:val="22"/>
          <w:szCs w:val="22"/>
        </w:rPr>
        <w:t>д</w:t>
      </w:r>
      <w:r w:rsidRPr="005A5F8A">
        <w:rPr>
          <w:b/>
          <w:sz w:val="22"/>
          <w:szCs w:val="22"/>
        </w:rPr>
        <w:t>оставки товарів:</w:t>
      </w:r>
      <w:r>
        <w:rPr>
          <w:b/>
          <w:sz w:val="22"/>
          <w:szCs w:val="22"/>
        </w:rPr>
        <w:t xml:space="preserve"> </w:t>
      </w:r>
      <w:r w:rsidRPr="00EF2506">
        <w:rPr>
          <w:bCs/>
          <w:sz w:val="22"/>
          <w:szCs w:val="22"/>
        </w:rPr>
        <w:t xml:space="preserve">доставка  здійснюється силами та за рахунок Постачальника  та включає </w:t>
      </w:r>
      <w:proofErr w:type="spellStart"/>
      <w:r w:rsidRPr="00EF2506">
        <w:rPr>
          <w:bCs/>
          <w:sz w:val="22"/>
          <w:szCs w:val="22"/>
        </w:rPr>
        <w:t>завантажувально</w:t>
      </w:r>
      <w:proofErr w:type="spellEnd"/>
      <w:r w:rsidRPr="00EF2506">
        <w:rPr>
          <w:bCs/>
          <w:sz w:val="22"/>
          <w:szCs w:val="22"/>
        </w:rPr>
        <w:t>-розвантажувальні роботи</w:t>
      </w:r>
      <w:r>
        <w:rPr>
          <w:bCs/>
          <w:sz w:val="22"/>
          <w:szCs w:val="22"/>
        </w:rPr>
        <w:t xml:space="preserve"> згідно розподілу,</w:t>
      </w:r>
      <w:r w:rsidRPr="00EF2506">
        <w:rPr>
          <w:bCs/>
          <w:sz w:val="22"/>
          <w:szCs w:val="22"/>
        </w:rPr>
        <w:t xml:space="preserve"> за адресами вказаними в Додатку №</w:t>
      </w:r>
      <w:r>
        <w:rPr>
          <w:bCs/>
          <w:sz w:val="22"/>
          <w:szCs w:val="22"/>
        </w:rPr>
        <w:t>4.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3A51187A" w14:textId="3204914D" w:rsidR="00BC13F3" w:rsidRPr="00602D70" w:rsidRDefault="00FB63DE" w:rsidP="00FC5A5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Сертифікати </w:t>
            </w:r>
            <w:r w:rsidR="00FC5A5F">
              <w:rPr>
                <w:rFonts w:ascii="Times New Roman" w:hAnsi="Times New Roman" w:cs="Times New Roman"/>
                <w:sz w:val="22"/>
                <w:szCs w:val="22"/>
              </w:rPr>
              <w:t>якості/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відповідності</w:t>
            </w:r>
            <w:r w:rsidR="00FC5A5F">
              <w:rPr>
                <w:rFonts w:ascii="Times New Roman" w:hAnsi="Times New Roman" w:cs="Times New Roman"/>
                <w:sz w:val="22"/>
                <w:szCs w:val="22"/>
              </w:rPr>
              <w:t xml:space="preserve"> на матеріали</w:t>
            </w:r>
            <w:r w:rsidR="00AD3E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Учасника, керівника Учасника, не було притягнуто згідно із законом до відповідальності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5517ACBD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2B34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E9F" w:rsidRPr="00557A29" w14:paraId="7BA5A590" w14:textId="77777777" w:rsidTr="00D94E9F">
        <w:trPr>
          <w:trHeight w:val="727"/>
        </w:trPr>
        <w:tc>
          <w:tcPr>
            <w:tcW w:w="567" w:type="dxa"/>
            <w:vAlign w:val="center"/>
          </w:tcPr>
          <w:p w14:paraId="6694A1F9" w14:textId="4598C578" w:rsidR="00D94E9F" w:rsidRPr="00BC13F3" w:rsidRDefault="00D94E9F" w:rsidP="00D94E9F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C3317AD" w14:textId="5510464D" w:rsidR="00D94E9F" w:rsidRPr="005A5F8A" w:rsidRDefault="00D94E9F" w:rsidP="00D94E9F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Декларація відповідності</w:t>
            </w:r>
          </w:p>
        </w:tc>
        <w:tc>
          <w:tcPr>
            <w:tcW w:w="4521" w:type="dxa"/>
            <w:vAlign w:val="center"/>
          </w:tcPr>
          <w:p w14:paraId="7FCD2231" w14:textId="49C117F8" w:rsidR="00D94E9F" w:rsidRPr="009856D2" w:rsidRDefault="00D94E9F" w:rsidP="00D94E9F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62C6">
              <w:rPr>
                <w:rFonts w:ascii="Times New Roman" w:hAnsi="Times New Roman" w:cs="Times New Roman"/>
                <w:sz w:val="22"/>
                <w:szCs w:val="22"/>
              </w:rPr>
              <w:t xml:space="preserve">Заповнити та підписати документ, який міститься в </w:t>
            </w:r>
            <w:r w:rsidRPr="004368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Додатку </w:t>
            </w:r>
            <w:r w:rsidR="007657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  <w:r w:rsidRPr="004368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B07B6E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1D2CE5C6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97313C">
        <w:rPr>
          <w:rFonts w:eastAsia="Arial Unicode MS"/>
          <w:b/>
          <w:bCs/>
          <w:sz w:val="22"/>
          <w:szCs w:val="22"/>
        </w:rPr>
        <w:t>Додаток №</w:t>
      </w:r>
      <w:r w:rsidR="0097313C" w:rsidRPr="0097313C">
        <w:rPr>
          <w:rFonts w:eastAsia="Arial Unicode MS"/>
          <w:b/>
          <w:bCs/>
          <w:sz w:val="22"/>
          <w:szCs w:val="22"/>
        </w:rPr>
        <w:t>6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2139574F" w:rsidR="000B2348" w:rsidRPr="006764E0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b/>
          <w:bCs/>
          <w:i/>
          <w:iCs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6764E0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6764E0">
        <w:rPr>
          <w:rFonts w:eastAsia="Arial Unicode MS"/>
          <w:b/>
          <w:bCs/>
          <w:sz w:val="22"/>
          <w:szCs w:val="22"/>
        </w:rPr>
        <w:t>№</w:t>
      </w:r>
      <w:r w:rsidR="006764E0" w:rsidRPr="006764E0">
        <w:rPr>
          <w:rFonts w:eastAsia="Arial Unicode MS"/>
          <w:b/>
          <w:bCs/>
          <w:sz w:val="22"/>
          <w:szCs w:val="22"/>
        </w:rPr>
        <w:t>4</w:t>
      </w:r>
      <w:r w:rsidRPr="006764E0">
        <w:rPr>
          <w:rFonts w:eastAsia="Arial Unicode MS"/>
          <w:b/>
          <w:bCs/>
          <w:sz w:val="22"/>
          <w:szCs w:val="22"/>
        </w:rPr>
        <w:t>.</w:t>
      </w:r>
      <w:r w:rsidR="00FD1BA5" w:rsidRPr="006764E0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6764E0">
        <w:rPr>
          <w:rFonts w:eastAsia="Arial Unicode MS"/>
          <w:b/>
          <w:bCs/>
          <w:i/>
          <w:i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lastRenderedPageBreak/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484B2127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6059BE7D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</w:t>
      </w:r>
      <w:r w:rsidRPr="002A16B1">
        <w:rPr>
          <w:b/>
          <w:bCs/>
          <w:color w:val="000000"/>
          <w:sz w:val="22"/>
          <w:szCs w:val="22"/>
          <w:lang w:eastAsia="uk-UA"/>
        </w:rPr>
        <w:t xml:space="preserve">Додаток </w:t>
      </w:r>
      <w:r w:rsidR="00A63842" w:rsidRPr="002A16B1">
        <w:rPr>
          <w:b/>
          <w:bCs/>
          <w:color w:val="000000"/>
          <w:sz w:val="22"/>
          <w:szCs w:val="22"/>
          <w:lang w:eastAsia="uk-UA"/>
        </w:rPr>
        <w:t>№</w:t>
      </w:r>
      <w:r w:rsidR="002A16B1" w:rsidRPr="002A16B1">
        <w:rPr>
          <w:b/>
          <w:bCs/>
          <w:color w:val="000000"/>
          <w:sz w:val="22"/>
          <w:szCs w:val="22"/>
          <w:lang w:eastAsia="uk-UA"/>
        </w:rPr>
        <w:t>4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3143BE07" w14:textId="77777777" w:rsidR="006D7647" w:rsidRPr="006D7647" w:rsidRDefault="00511A8B" w:rsidP="006D7647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B890E51" w14:textId="24B43AE2" w:rsidR="006D7647" w:rsidRDefault="006D7647" w:rsidP="006D7647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E4C2DE8" w14:textId="77777777" w:rsidR="004668FC" w:rsidRDefault="006D7647" w:rsidP="004668FC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3956C4D1" w14:textId="77777777" w:rsidR="00CC21FB" w:rsidRPr="00CC21FB" w:rsidRDefault="004668FC" w:rsidP="001E6D0A">
      <w:pPr>
        <w:pStyle w:val="af"/>
        <w:numPr>
          <w:ilvl w:val="1"/>
          <w:numId w:val="7"/>
        </w:numPr>
        <w:ind w:left="0" w:firstLine="357"/>
        <w:jc w:val="both"/>
        <w:rPr>
          <w:b/>
          <w:bCs/>
          <w:i/>
          <w:iCs/>
          <w:sz w:val="22"/>
          <w:szCs w:val="22"/>
        </w:rPr>
      </w:pPr>
      <w:r w:rsidRPr="00D515F7">
        <w:rPr>
          <w:b/>
          <w:bCs/>
          <w:i/>
          <w:iCs/>
          <w:lang w:eastAsia="uk-UA"/>
        </w:rPr>
        <w:t xml:space="preserve">Перед початком виготовлення загальної партії Учасник зобов’язаний надати Замовнику зразки боксів для збору </w:t>
      </w:r>
      <w:proofErr w:type="spellStart"/>
      <w:r w:rsidRPr="00D515F7">
        <w:rPr>
          <w:b/>
          <w:bCs/>
          <w:i/>
          <w:iCs/>
          <w:lang w:eastAsia="uk-UA"/>
        </w:rPr>
        <w:t>донатів</w:t>
      </w:r>
      <w:proofErr w:type="spellEnd"/>
      <w:r w:rsidRPr="00D515F7">
        <w:rPr>
          <w:b/>
          <w:bCs/>
          <w:i/>
          <w:iCs/>
          <w:lang w:eastAsia="uk-UA"/>
        </w:rPr>
        <w:t xml:space="preserve"> (згідно технічного завдання, Додаток №</w:t>
      </w:r>
      <w:r w:rsidR="002878D3">
        <w:rPr>
          <w:b/>
          <w:bCs/>
          <w:i/>
          <w:iCs/>
          <w:lang w:eastAsia="uk-UA"/>
        </w:rPr>
        <w:t>3, №4</w:t>
      </w:r>
    </w:p>
    <w:p w14:paraId="14D598F6" w14:textId="4121661A" w:rsidR="001E6D0A" w:rsidRPr="00D515F7" w:rsidRDefault="004668FC" w:rsidP="001E6D0A">
      <w:pPr>
        <w:pStyle w:val="af"/>
        <w:numPr>
          <w:ilvl w:val="1"/>
          <w:numId w:val="7"/>
        </w:numPr>
        <w:ind w:left="0" w:firstLine="357"/>
        <w:jc w:val="both"/>
        <w:rPr>
          <w:b/>
          <w:bCs/>
          <w:i/>
          <w:iCs/>
          <w:sz w:val="22"/>
          <w:szCs w:val="22"/>
        </w:rPr>
      </w:pPr>
      <w:r w:rsidRPr="00D515F7">
        <w:rPr>
          <w:b/>
          <w:bCs/>
          <w:i/>
          <w:iCs/>
          <w:lang w:eastAsia="uk-UA"/>
        </w:rPr>
        <w:t xml:space="preserve">) для обов’язкового погодження протягом, але не пізніше 10–14 календарних днів з моменту повідомлення переможця про результати тендеру. У разі виявлення </w:t>
      </w:r>
      <w:proofErr w:type="spellStart"/>
      <w:r w:rsidRPr="00D515F7">
        <w:rPr>
          <w:b/>
          <w:bCs/>
          <w:i/>
          <w:iCs/>
          <w:lang w:eastAsia="uk-UA"/>
        </w:rPr>
        <w:t>невідповідностей</w:t>
      </w:r>
      <w:proofErr w:type="spellEnd"/>
      <w:r w:rsidRPr="00D515F7">
        <w:rPr>
          <w:b/>
          <w:bCs/>
          <w:i/>
          <w:iCs/>
          <w:lang w:eastAsia="uk-UA"/>
        </w:rPr>
        <w:t xml:space="preserve"> у наданих зразках Учасник зобов’язаний їх усунути та повторно подати зразки на погодження. Лише після остаточного погодження Замовником можливе укладання договору.</w:t>
      </w:r>
    </w:p>
    <w:p w14:paraId="6496450A" w14:textId="77777777" w:rsidR="001E6D0A" w:rsidRPr="00D515F7" w:rsidRDefault="004668FC" w:rsidP="001E6D0A">
      <w:pPr>
        <w:pStyle w:val="af"/>
        <w:numPr>
          <w:ilvl w:val="1"/>
          <w:numId w:val="7"/>
        </w:numPr>
        <w:ind w:left="0" w:firstLine="357"/>
        <w:jc w:val="both"/>
        <w:rPr>
          <w:b/>
          <w:bCs/>
          <w:i/>
          <w:iCs/>
          <w:sz w:val="22"/>
          <w:szCs w:val="22"/>
        </w:rPr>
      </w:pPr>
      <w:r w:rsidRPr="00D515F7">
        <w:rPr>
          <w:b/>
          <w:bCs/>
          <w:i/>
          <w:iCs/>
          <w:lang w:eastAsia="uk-UA"/>
        </w:rPr>
        <w:t xml:space="preserve">Учасник гарантує, що у разі постачання неякісних боксів (дефекти виготовлення, невідповідність матеріалів чи розмірів, відсутність </w:t>
      </w:r>
      <w:proofErr w:type="spellStart"/>
      <w:r w:rsidRPr="00D515F7">
        <w:rPr>
          <w:b/>
          <w:bCs/>
          <w:i/>
          <w:iCs/>
          <w:lang w:eastAsia="uk-UA"/>
        </w:rPr>
        <w:t>брендованих</w:t>
      </w:r>
      <w:proofErr w:type="spellEnd"/>
      <w:r w:rsidRPr="00D515F7">
        <w:rPr>
          <w:b/>
          <w:bCs/>
          <w:i/>
          <w:iCs/>
          <w:lang w:eastAsia="uk-UA"/>
        </w:rPr>
        <w:t xml:space="preserve"> елементів тощо) він забезпечує їх заміну на якісні за власний рахунок не пізніше ніж 14 календарних днів після повернення продукції Замовником.</w:t>
      </w:r>
    </w:p>
    <w:p w14:paraId="049B183A" w14:textId="77777777" w:rsidR="001E6D0A" w:rsidRPr="00D515F7" w:rsidRDefault="004668FC" w:rsidP="001E6D0A">
      <w:pPr>
        <w:pStyle w:val="af"/>
        <w:numPr>
          <w:ilvl w:val="1"/>
          <w:numId w:val="7"/>
        </w:numPr>
        <w:ind w:left="0" w:firstLine="357"/>
        <w:jc w:val="both"/>
        <w:rPr>
          <w:b/>
          <w:bCs/>
          <w:i/>
          <w:iCs/>
          <w:sz w:val="22"/>
          <w:szCs w:val="22"/>
        </w:rPr>
      </w:pPr>
      <w:r w:rsidRPr="00D515F7">
        <w:rPr>
          <w:b/>
          <w:bCs/>
          <w:i/>
          <w:iCs/>
          <w:lang w:eastAsia="uk-UA"/>
        </w:rPr>
        <w:t>Учасник гарантує відповідність виготовленої продукції затвердженим зразкам, макетам і технічному завданню, а також належну якість матеріалів, стійкість до зношування, зовнішніх впливів та забезпечення безпечного використання.</w:t>
      </w:r>
    </w:p>
    <w:p w14:paraId="4F44173E" w14:textId="77777777" w:rsidR="001E6D0A" w:rsidRPr="00D515F7" w:rsidRDefault="004668FC" w:rsidP="001E6D0A">
      <w:pPr>
        <w:pStyle w:val="af"/>
        <w:numPr>
          <w:ilvl w:val="1"/>
          <w:numId w:val="7"/>
        </w:numPr>
        <w:ind w:left="0" w:firstLine="357"/>
        <w:jc w:val="both"/>
        <w:rPr>
          <w:b/>
          <w:bCs/>
          <w:i/>
          <w:iCs/>
          <w:sz w:val="22"/>
          <w:szCs w:val="22"/>
        </w:rPr>
      </w:pPr>
      <w:r w:rsidRPr="00D515F7">
        <w:rPr>
          <w:b/>
          <w:bCs/>
          <w:i/>
          <w:iCs/>
          <w:lang w:eastAsia="uk-UA"/>
        </w:rPr>
        <w:t>Учасник зобов’язаний забезпечити належне пакування готової продукції, яке гарантує її цілісність та збереження товарного вигляду під час транспортування, зберігання та доставки. Товар повинен бути упакований у картонні коробки або інше захисне пакування.</w:t>
      </w:r>
    </w:p>
    <w:p w14:paraId="5ED81BE6" w14:textId="10B372B4" w:rsidR="004668FC" w:rsidRPr="003C3A27" w:rsidRDefault="004668FC" w:rsidP="001E6D0A">
      <w:pPr>
        <w:pStyle w:val="af"/>
        <w:numPr>
          <w:ilvl w:val="1"/>
          <w:numId w:val="7"/>
        </w:numPr>
        <w:ind w:left="0" w:firstLine="357"/>
        <w:jc w:val="both"/>
        <w:rPr>
          <w:b/>
          <w:bCs/>
          <w:i/>
          <w:iCs/>
          <w:sz w:val="22"/>
          <w:szCs w:val="22"/>
        </w:rPr>
      </w:pPr>
      <w:r w:rsidRPr="00D515F7">
        <w:rPr>
          <w:b/>
          <w:bCs/>
          <w:i/>
          <w:iCs/>
          <w:lang w:eastAsia="uk-UA"/>
        </w:rPr>
        <w:t xml:space="preserve">Кожен бокс має бути промаркований відповідно до погодженої специфікації (найменування, призначення, </w:t>
      </w:r>
      <w:proofErr w:type="spellStart"/>
      <w:r w:rsidRPr="00D515F7">
        <w:rPr>
          <w:b/>
          <w:bCs/>
          <w:i/>
          <w:iCs/>
          <w:lang w:eastAsia="uk-UA"/>
        </w:rPr>
        <w:t>брендовані</w:t>
      </w:r>
      <w:proofErr w:type="spellEnd"/>
      <w:r w:rsidRPr="00D515F7">
        <w:rPr>
          <w:b/>
          <w:bCs/>
          <w:i/>
          <w:iCs/>
          <w:lang w:eastAsia="uk-UA"/>
        </w:rPr>
        <w:t xml:space="preserve"> елементи). Відсутність маркування або неналежне пакування вважатиметься порушенням умов постачання.</w:t>
      </w:r>
    </w:p>
    <w:p w14:paraId="69639A62" w14:textId="77777777" w:rsidR="003C3A27" w:rsidRPr="003C3A27" w:rsidRDefault="003C3A27" w:rsidP="003C3A27">
      <w:pPr>
        <w:jc w:val="both"/>
        <w:rPr>
          <w:b/>
          <w:bCs/>
          <w:i/>
          <w:iCs/>
          <w:sz w:val="22"/>
          <w:szCs w:val="22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</w:t>
      </w:r>
      <w:r w:rsidRPr="008571C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8571CC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8571CC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539C2F3" w14:textId="7FC92A71" w:rsidR="006616B3" w:rsidRPr="006616B3" w:rsidRDefault="008571CC" w:rsidP="006616B3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71CC">
        <w:rPr>
          <w:rFonts w:ascii="Times New Roman" w:eastAsia="Times New Roman" w:hAnsi="Times New Roman" w:cs="Times New Roman"/>
          <w:sz w:val="22"/>
          <w:szCs w:val="22"/>
        </w:rPr>
        <w:t xml:space="preserve">Декларація відповідності у формі </w:t>
      </w:r>
      <w:r w:rsidRPr="008571C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№2</w:t>
      </w:r>
      <w:r w:rsidRPr="008571CC">
        <w:rPr>
          <w:rFonts w:ascii="Times New Roman" w:eastAsia="Times New Roman" w:hAnsi="Times New Roman" w:cs="Times New Roman"/>
          <w:sz w:val="22"/>
          <w:szCs w:val="22"/>
        </w:rPr>
        <w:t xml:space="preserve"> до Запиту;</w:t>
      </w:r>
    </w:p>
    <w:p w14:paraId="013F7C5C" w14:textId="7B668F1E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</w:t>
      </w:r>
      <w:r w:rsidR="003427D9" w:rsidRPr="006616B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6616B3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6616B3" w:rsidRPr="006616B3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08D5D25" w14:textId="77777777" w:rsidR="0093267A" w:rsidRDefault="00564164" w:rsidP="0093267A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620FE44" w14:textId="77777777" w:rsidR="00D03718" w:rsidRPr="00D03718" w:rsidRDefault="00C61571" w:rsidP="0093267A">
      <w:pPr>
        <w:pStyle w:val="aa"/>
        <w:numPr>
          <w:ilvl w:val="0"/>
          <w:numId w:val="29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3718">
        <w:rPr>
          <w:rFonts w:ascii="Times New Roman" w:hAnsi="Times New Roman" w:cs="Times New Roman"/>
          <w:sz w:val="22"/>
          <w:szCs w:val="22"/>
        </w:rPr>
        <w:t xml:space="preserve">Документальне підтвердження досвіду: </w:t>
      </w:r>
      <w:r w:rsidRPr="00D03718">
        <w:rPr>
          <w:rFonts w:ascii="Times New Roman" w:hAnsi="Times New Roman" w:cs="Times New Roman"/>
          <w:b/>
          <w:bCs/>
          <w:sz w:val="22"/>
          <w:szCs w:val="22"/>
        </w:rPr>
        <w:t>копії аналогічних договорів</w:t>
      </w:r>
      <w:r w:rsidRPr="00D03718">
        <w:rPr>
          <w:rFonts w:ascii="Times New Roman" w:hAnsi="Times New Roman" w:cs="Times New Roman"/>
          <w:sz w:val="22"/>
          <w:szCs w:val="22"/>
        </w:rPr>
        <w:t xml:space="preserve"> з підтвердженням їх повного виконання</w:t>
      </w:r>
    </w:p>
    <w:p w14:paraId="5D18523C" w14:textId="4BAFE640" w:rsidR="006B18DF" w:rsidRDefault="006B18DF" w:rsidP="0093267A">
      <w:pPr>
        <w:pStyle w:val="aa"/>
        <w:numPr>
          <w:ilvl w:val="0"/>
          <w:numId w:val="29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37629675" w:rsidR="007545FF" w:rsidRPr="00741212" w:rsidRDefault="25B47B8B" w:rsidP="25B47B8B">
      <w:pPr>
        <w:ind w:firstLine="357"/>
        <w:jc w:val="both"/>
        <w:rPr>
          <w:b/>
          <w:bCs/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</w:t>
      </w:r>
      <w:r w:rsidRPr="00741212">
        <w:rPr>
          <w:b/>
          <w:bCs/>
          <w:sz w:val="22"/>
          <w:szCs w:val="22"/>
        </w:rPr>
        <w:t xml:space="preserve">до 18:00 </w:t>
      </w:r>
      <w:r w:rsidR="00474C62" w:rsidRPr="00741212">
        <w:rPr>
          <w:b/>
          <w:bCs/>
          <w:sz w:val="22"/>
          <w:szCs w:val="22"/>
        </w:rPr>
        <w:t>29.09</w:t>
      </w:r>
      <w:r w:rsidRPr="00741212">
        <w:rPr>
          <w:b/>
          <w:bCs/>
          <w:sz w:val="22"/>
          <w:szCs w:val="22"/>
        </w:rPr>
        <w:t>.</w:t>
      </w:r>
      <w:r w:rsidR="00474C62" w:rsidRPr="00741212">
        <w:rPr>
          <w:b/>
          <w:bCs/>
          <w:sz w:val="22"/>
          <w:szCs w:val="22"/>
        </w:rPr>
        <w:t>2025</w:t>
      </w:r>
      <w:r w:rsidRPr="00741212">
        <w:rPr>
          <w:b/>
          <w:bCs/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5FD7187D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474C62">
        <w:rPr>
          <w:b/>
          <w:sz w:val="22"/>
          <w:szCs w:val="22"/>
        </w:rPr>
        <w:t>«</w:t>
      </w:r>
      <w:r w:rsidR="00474C62" w:rsidRPr="00474C62">
        <w:rPr>
          <w:b/>
          <w:sz w:val="22"/>
          <w:szCs w:val="22"/>
        </w:rPr>
        <w:t>30</w:t>
      </w:r>
      <w:r w:rsidRPr="00474C62">
        <w:rPr>
          <w:b/>
          <w:sz w:val="22"/>
          <w:szCs w:val="22"/>
        </w:rPr>
        <w:t xml:space="preserve">» </w:t>
      </w:r>
      <w:r w:rsidR="00474C62" w:rsidRPr="00474C62">
        <w:rPr>
          <w:b/>
          <w:sz w:val="22"/>
          <w:szCs w:val="22"/>
        </w:rPr>
        <w:t>вересня</w:t>
      </w:r>
      <w:r w:rsidRPr="00474C62">
        <w:rPr>
          <w:b/>
          <w:sz w:val="22"/>
          <w:szCs w:val="22"/>
        </w:rPr>
        <w:t>202</w:t>
      </w:r>
      <w:r w:rsidR="00474C62" w:rsidRPr="00474C62">
        <w:rPr>
          <w:b/>
          <w:sz w:val="22"/>
          <w:szCs w:val="22"/>
        </w:rPr>
        <w:t>5</w:t>
      </w:r>
      <w:r w:rsidRPr="00474C62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lastRenderedPageBreak/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26FBA941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474C62">
        <w:rPr>
          <w:b/>
          <w:sz w:val="22"/>
          <w:szCs w:val="22"/>
        </w:rPr>
        <w:t>01</w:t>
      </w:r>
      <w:r w:rsidRPr="00557A29">
        <w:rPr>
          <w:b/>
          <w:sz w:val="22"/>
          <w:szCs w:val="22"/>
        </w:rPr>
        <w:t xml:space="preserve">» </w:t>
      </w:r>
      <w:r w:rsidR="00474C62">
        <w:rPr>
          <w:b/>
          <w:sz w:val="22"/>
          <w:szCs w:val="22"/>
        </w:rPr>
        <w:t>жовтня</w:t>
      </w:r>
      <w:r w:rsidRPr="00557A29">
        <w:rPr>
          <w:b/>
          <w:sz w:val="22"/>
          <w:szCs w:val="22"/>
        </w:rPr>
        <w:t xml:space="preserve"> 202</w:t>
      </w:r>
      <w:r w:rsidR="00474C62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7ACF8BDD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CE6632">
        <w:rPr>
          <w:b/>
          <w:color w:val="FF0000"/>
          <w:sz w:val="22"/>
          <w:szCs w:val="22"/>
        </w:rPr>
        <w:t>2244</w:t>
      </w:r>
      <w:r w:rsidR="00CE6632">
        <w:rPr>
          <w:b/>
          <w:color w:val="FF0000"/>
          <w:sz w:val="22"/>
          <w:szCs w:val="22"/>
          <w:lang w:val="en-US"/>
        </w:rPr>
        <w:t>NM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474C62">
        <w:rPr>
          <w:b/>
          <w:color w:val="FF0000"/>
          <w:sz w:val="22"/>
          <w:szCs w:val="22"/>
        </w:rPr>
        <w:t xml:space="preserve">Закупівля боксів </w:t>
      </w:r>
      <w:r w:rsidR="00EB6683">
        <w:rPr>
          <w:b/>
          <w:color w:val="FF0000"/>
          <w:sz w:val="22"/>
          <w:szCs w:val="22"/>
        </w:rPr>
        <w:t xml:space="preserve">та стендів </w:t>
      </w:r>
      <w:proofErr w:type="spellStart"/>
      <w:r w:rsidR="008573B5">
        <w:rPr>
          <w:b/>
          <w:color w:val="FF0000"/>
          <w:sz w:val="22"/>
          <w:szCs w:val="22"/>
        </w:rPr>
        <w:t>брендованих</w:t>
      </w:r>
      <w:proofErr w:type="spellEnd"/>
      <w:r w:rsidR="008573B5">
        <w:rPr>
          <w:b/>
          <w:color w:val="FF0000"/>
          <w:sz w:val="22"/>
          <w:szCs w:val="22"/>
        </w:rPr>
        <w:t xml:space="preserve"> </w:t>
      </w:r>
      <w:r w:rsidR="008E6489">
        <w:rPr>
          <w:b/>
          <w:color w:val="FF0000"/>
          <w:sz w:val="22"/>
          <w:szCs w:val="22"/>
        </w:rPr>
        <w:t>для благодійних внесків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00EB2093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CE6632" w:rsidRPr="00CE6632">
        <w:rPr>
          <w:b/>
          <w:color w:val="FF0000"/>
          <w:sz w:val="22"/>
          <w:szCs w:val="22"/>
          <w:lang w:val="ru-RU"/>
        </w:rPr>
        <w:t>2244</w:t>
      </w:r>
      <w:r w:rsidR="00CE6632">
        <w:rPr>
          <w:b/>
          <w:color w:val="FF0000"/>
          <w:sz w:val="22"/>
          <w:szCs w:val="22"/>
          <w:lang w:val="en-US"/>
        </w:rPr>
        <w:t>NM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8E6489">
        <w:rPr>
          <w:b/>
          <w:color w:val="FF0000"/>
          <w:sz w:val="22"/>
          <w:szCs w:val="22"/>
        </w:rPr>
        <w:t>Закупівля боксів</w:t>
      </w:r>
      <w:r w:rsidR="00EB6683">
        <w:rPr>
          <w:b/>
          <w:color w:val="FF0000"/>
          <w:sz w:val="22"/>
          <w:szCs w:val="22"/>
        </w:rPr>
        <w:t xml:space="preserve"> та стендів</w:t>
      </w:r>
      <w:r w:rsidR="008E6489">
        <w:rPr>
          <w:b/>
          <w:color w:val="FF0000"/>
          <w:sz w:val="22"/>
          <w:szCs w:val="22"/>
        </w:rPr>
        <w:t xml:space="preserve"> </w:t>
      </w:r>
      <w:proofErr w:type="spellStart"/>
      <w:r w:rsidR="008573B5">
        <w:rPr>
          <w:b/>
          <w:color w:val="FF0000"/>
          <w:sz w:val="22"/>
          <w:szCs w:val="22"/>
        </w:rPr>
        <w:t>брендованих</w:t>
      </w:r>
      <w:proofErr w:type="spellEnd"/>
      <w:r w:rsidR="008573B5">
        <w:rPr>
          <w:b/>
          <w:color w:val="FF0000"/>
          <w:sz w:val="22"/>
          <w:szCs w:val="22"/>
        </w:rPr>
        <w:t xml:space="preserve"> </w:t>
      </w:r>
      <w:r w:rsidR="008E6489">
        <w:rPr>
          <w:b/>
          <w:color w:val="FF0000"/>
          <w:sz w:val="22"/>
          <w:szCs w:val="22"/>
        </w:rPr>
        <w:t>для благодійних внесків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06F6A92" w14:textId="54130BF0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18D97AEB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194"/>
        <w:gridCol w:w="4028"/>
        <w:gridCol w:w="157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A44501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138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201D3B">
        <w:trPr>
          <w:trHeight w:val="332"/>
        </w:trPr>
        <w:tc>
          <w:tcPr>
            <w:tcW w:w="709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</w:tcPr>
          <w:p w14:paraId="3AD3FD14" w14:textId="27B24293" w:rsidR="00B36636" w:rsidRPr="004D12A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1753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6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201D3B" w:rsidRPr="004805DD" w14:paraId="115314BF" w14:textId="5305E95E" w:rsidTr="00A44501">
        <w:trPr>
          <w:trHeight w:val="77"/>
        </w:trPr>
        <w:tc>
          <w:tcPr>
            <w:tcW w:w="709" w:type="dxa"/>
          </w:tcPr>
          <w:p w14:paraId="5A393C83" w14:textId="3B4F973D" w:rsidR="00201D3B" w:rsidRPr="001A29ED" w:rsidRDefault="00201D3B" w:rsidP="00201D3B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14:paraId="6346E3EF" w14:textId="0F076D7A" w:rsidR="00201D3B" w:rsidRDefault="00201D3B" w:rsidP="00201D3B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Термін доставки конструкцій з моменту укладення договору </w:t>
            </w:r>
          </w:p>
          <w:p w14:paraId="60D349D3" w14:textId="31A33778" w:rsidR="00201D3B" w:rsidRPr="003848EA" w:rsidRDefault="00201D3B" w:rsidP="00201D3B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(календарні дні)</w:t>
            </w:r>
          </w:p>
        </w:tc>
        <w:tc>
          <w:tcPr>
            <w:tcW w:w="4140" w:type="dxa"/>
            <w:vAlign w:val="center"/>
          </w:tcPr>
          <w:p w14:paraId="5D93C2CB" w14:textId="77777777" w:rsidR="00201D3B" w:rsidRPr="0090167E" w:rsidRDefault="00201D3B" w:rsidP="00201D3B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0167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30</w:t>
            </w:r>
            <w:r w:rsidRPr="0090167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днів – 20</w:t>
            </w:r>
          </w:p>
          <w:p w14:paraId="08A4DB89" w14:textId="77777777" w:rsidR="00201D3B" w:rsidRPr="0090167E" w:rsidRDefault="00201D3B" w:rsidP="00201D3B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0167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40</w:t>
            </w:r>
            <w:r w:rsidRPr="0090167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днів – 10</w:t>
            </w:r>
          </w:p>
          <w:p w14:paraId="24C4147F" w14:textId="3786DEED" w:rsidR="00201D3B" w:rsidRDefault="00201D3B" w:rsidP="00201D3B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0167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&gt;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40</w:t>
            </w:r>
            <w:r w:rsidRPr="0090167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днів - 0</w:t>
            </w:r>
          </w:p>
        </w:tc>
        <w:tc>
          <w:tcPr>
            <w:tcW w:w="1388" w:type="dxa"/>
            <w:vAlign w:val="center"/>
          </w:tcPr>
          <w:p w14:paraId="24D6AA0B" w14:textId="40527911" w:rsidR="00201D3B" w:rsidRDefault="006F4357" w:rsidP="00201D3B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8D5B1B" w:rsidRPr="004805DD" w14:paraId="0B5D70A3" w14:textId="77777777" w:rsidTr="00A44501">
        <w:trPr>
          <w:trHeight w:val="193"/>
        </w:trPr>
        <w:tc>
          <w:tcPr>
            <w:tcW w:w="709" w:type="dxa"/>
            <w:vAlign w:val="center"/>
          </w:tcPr>
          <w:p w14:paraId="3D468E5F" w14:textId="30F63AD9" w:rsidR="008D5B1B" w:rsidRPr="001A29ED" w:rsidRDefault="001A29ED" w:rsidP="008D5B1B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3260" w:type="dxa"/>
            <w:vAlign w:val="center"/>
          </w:tcPr>
          <w:p w14:paraId="70F8DA63" w14:textId="77777777" w:rsidR="008D5B1B" w:rsidRDefault="008D5B1B" w:rsidP="008D5B1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Підтвердження досвіду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виконання аналогічних договорів. </w:t>
            </w:r>
          </w:p>
          <w:p w14:paraId="56D0AC80" w14:textId="15DF0CAA" w:rsidR="008D5B1B" w:rsidRPr="004D12AF" w:rsidRDefault="008D5B1B" w:rsidP="008D5B1B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Інформація повинна надаватися про повністю виконані  договори.</w:t>
            </w:r>
          </w:p>
        </w:tc>
        <w:tc>
          <w:tcPr>
            <w:tcW w:w="4140" w:type="dxa"/>
            <w:vAlign w:val="center"/>
          </w:tcPr>
          <w:p w14:paraId="729266F1" w14:textId="01E9384F" w:rsidR="008D5B1B" w:rsidRDefault="008D5B1B" w:rsidP="008D5B1B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Від </w:t>
            </w:r>
            <w:r w:rsidR="0028548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-х аналогічних договорів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– 20;</w:t>
            </w:r>
          </w:p>
          <w:p w14:paraId="7584327E" w14:textId="7D7E278D" w:rsidR="008D5B1B" w:rsidRDefault="003B5987" w:rsidP="008D5B1B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2-1</w:t>
            </w:r>
            <w:r w:rsidR="008D5B1B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аналогічни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х</w:t>
            </w:r>
            <w:r w:rsidR="008D5B1B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догов</w:t>
            </w:r>
            <w:r w:rsidR="004B7BD6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орів</w:t>
            </w:r>
            <w:r w:rsidR="008D5B1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за</w:t>
            </w:r>
            <w:r w:rsidR="008D5B1B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– 10;</w:t>
            </w:r>
          </w:p>
          <w:p w14:paraId="0B162224" w14:textId="0212FB33" w:rsidR="008D5B1B" w:rsidRPr="004D12AF" w:rsidRDefault="008D5B1B" w:rsidP="008D5B1B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2"/>
                <w:szCs w:val="22"/>
              </w:rPr>
              <w:t>Не надано підтвердження – 0</w:t>
            </w:r>
            <w:r w:rsidR="00A4450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1388" w:type="dxa"/>
            <w:vAlign w:val="center"/>
          </w:tcPr>
          <w:p w14:paraId="6B287D57" w14:textId="5DAB7E83" w:rsidR="008D5B1B" w:rsidRPr="004D12AF" w:rsidRDefault="008D5B1B" w:rsidP="008D5B1B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A44501">
        <w:tc>
          <w:tcPr>
            <w:tcW w:w="810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138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1B54E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bCs/>
          <w:sz w:val="22"/>
          <w:szCs w:val="22"/>
        </w:rPr>
      </w:pPr>
    </w:p>
    <w:p w14:paraId="3FCE5BC1" w14:textId="72F9F8D8" w:rsidR="00CE4346" w:rsidRPr="001B54E7" w:rsidRDefault="004C2787" w:rsidP="0099701E">
      <w:pPr>
        <w:pStyle w:val="af5"/>
        <w:ind w:firstLine="357"/>
        <w:rPr>
          <w:b/>
          <w:bCs/>
          <w:i/>
          <w:sz w:val="22"/>
          <w:szCs w:val="22"/>
        </w:rPr>
      </w:pPr>
      <w:r w:rsidRPr="001B54E7">
        <w:rPr>
          <w:b/>
          <w:bCs/>
          <w:i/>
          <w:sz w:val="22"/>
          <w:szCs w:val="22"/>
        </w:rPr>
        <w:t>Голова тендерного комітету</w:t>
      </w:r>
      <w:r w:rsidRPr="001B54E7">
        <w:rPr>
          <w:b/>
          <w:bCs/>
          <w:i/>
          <w:sz w:val="22"/>
          <w:szCs w:val="22"/>
        </w:rPr>
        <w:tab/>
      </w:r>
      <w:r w:rsidRPr="001B54E7">
        <w:rPr>
          <w:b/>
          <w:bCs/>
          <w:i/>
          <w:sz w:val="22"/>
          <w:szCs w:val="22"/>
        </w:rPr>
        <w:tab/>
      </w:r>
      <w:r w:rsidR="009E6AC7" w:rsidRPr="001B54E7">
        <w:rPr>
          <w:b/>
          <w:bCs/>
          <w:i/>
          <w:sz w:val="22"/>
          <w:szCs w:val="22"/>
        </w:rPr>
        <w:t xml:space="preserve">                                                            </w:t>
      </w:r>
      <w:r w:rsidRPr="001B54E7">
        <w:rPr>
          <w:b/>
          <w:bCs/>
          <w:i/>
          <w:sz w:val="22"/>
          <w:szCs w:val="22"/>
        </w:rPr>
        <w:tab/>
      </w:r>
      <w:r w:rsidR="001B54E7" w:rsidRPr="001B54E7">
        <w:rPr>
          <w:b/>
          <w:bCs/>
          <w:i/>
          <w:sz w:val="22"/>
          <w:szCs w:val="22"/>
        </w:rPr>
        <w:t>Р.І. Ошовська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6C8F9CE" w14:textId="2A107AD8" w:rsidR="000B129C" w:rsidRPr="00A44501" w:rsidRDefault="00C33DF7" w:rsidP="00A44501">
      <w:pPr>
        <w:ind w:left="6804" w:hanging="7088"/>
        <w:jc w:val="right"/>
        <w:rPr>
          <w:b/>
          <w:i/>
          <w:iCs/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bookmarkEnd w:id="1"/>
      <w:r w:rsidR="00A44501" w:rsidRPr="00A44501">
        <w:rPr>
          <w:i/>
          <w:iCs/>
          <w:sz w:val="22"/>
          <w:szCs w:val="22"/>
        </w:rPr>
        <w:t xml:space="preserve">Запиту </w:t>
      </w:r>
      <w:r w:rsidR="00A44501" w:rsidRPr="00A44501">
        <w:rPr>
          <w:b/>
          <w:bCs/>
          <w:i/>
          <w:iCs/>
          <w:sz w:val="22"/>
          <w:szCs w:val="22"/>
        </w:rPr>
        <w:t>№2244</w:t>
      </w:r>
      <w:r w:rsidR="00A44501" w:rsidRPr="00A44501">
        <w:rPr>
          <w:b/>
          <w:bCs/>
          <w:i/>
          <w:iCs/>
          <w:sz w:val="22"/>
          <w:szCs w:val="22"/>
          <w:lang w:val="en-US"/>
        </w:rPr>
        <w:t>NM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3568D" w14:textId="77777777" w:rsidR="000E6A9B" w:rsidRDefault="000E6A9B" w:rsidP="00B948CF">
      <w:r>
        <w:separator/>
      </w:r>
    </w:p>
  </w:endnote>
  <w:endnote w:type="continuationSeparator" w:id="0">
    <w:p w14:paraId="5F079348" w14:textId="77777777" w:rsidR="000E6A9B" w:rsidRDefault="000E6A9B" w:rsidP="00B948CF">
      <w:r>
        <w:continuationSeparator/>
      </w:r>
    </w:p>
  </w:endnote>
  <w:endnote w:type="continuationNotice" w:id="1">
    <w:p w14:paraId="57B0DC15" w14:textId="77777777" w:rsidR="000E6A9B" w:rsidRDefault="000E6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B9CE" w14:textId="77777777" w:rsidR="000E6A9B" w:rsidRDefault="000E6A9B" w:rsidP="00B948CF">
      <w:r>
        <w:separator/>
      </w:r>
    </w:p>
  </w:footnote>
  <w:footnote w:type="continuationSeparator" w:id="0">
    <w:p w14:paraId="44703BFD" w14:textId="77777777" w:rsidR="000E6A9B" w:rsidRDefault="000E6A9B" w:rsidP="00B948CF">
      <w:r>
        <w:continuationSeparator/>
      </w:r>
    </w:p>
  </w:footnote>
  <w:footnote w:type="continuationNotice" w:id="1">
    <w:p w14:paraId="23D7AECD" w14:textId="77777777" w:rsidR="000E6A9B" w:rsidRDefault="000E6A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27593E1A"/>
    <w:multiLevelType w:val="hybridMultilevel"/>
    <w:tmpl w:val="387C7954"/>
    <w:lvl w:ilvl="0" w:tplc="FFFFFFFF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20"/>
  </w:num>
  <w:num w:numId="5" w16cid:durableId="555745601">
    <w:abstractNumId w:val="24"/>
  </w:num>
  <w:num w:numId="6" w16cid:durableId="725567586">
    <w:abstractNumId w:val="25"/>
  </w:num>
  <w:num w:numId="7" w16cid:durableId="1595630758">
    <w:abstractNumId w:val="19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1"/>
  </w:num>
  <w:num w:numId="12" w16cid:durableId="31619943">
    <w:abstractNumId w:val="26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7"/>
  </w:num>
  <w:num w:numId="17" w16cid:durableId="162472003">
    <w:abstractNumId w:val="23"/>
  </w:num>
  <w:num w:numId="18" w16cid:durableId="1934510745">
    <w:abstractNumId w:val="5"/>
  </w:num>
  <w:num w:numId="19" w16cid:durableId="166478804">
    <w:abstractNumId w:val="17"/>
  </w:num>
  <w:num w:numId="20" w16cid:durableId="697197521">
    <w:abstractNumId w:val="6"/>
  </w:num>
  <w:num w:numId="21" w16cid:durableId="1017654360">
    <w:abstractNumId w:val="22"/>
  </w:num>
  <w:num w:numId="22" w16cid:durableId="349528681">
    <w:abstractNumId w:val="13"/>
  </w:num>
  <w:num w:numId="23" w16cid:durableId="1376658265">
    <w:abstractNumId w:val="12"/>
  </w:num>
  <w:num w:numId="24" w16cid:durableId="16469997">
    <w:abstractNumId w:val="28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8"/>
  </w:num>
  <w:num w:numId="27" w16cid:durableId="98378289">
    <w:abstractNumId w:val="21"/>
  </w:num>
  <w:num w:numId="28" w16cid:durableId="633679338">
    <w:abstractNumId w:val="10"/>
  </w:num>
  <w:num w:numId="29" w16cid:durableId="89551314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1196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1894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E6A9B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29ED"/>
    <w:rsid w:val="001A6815"/>
    <w:rsid w:val="001B003C"/>
    <w:rsid w:val="001B3130"/>
    <w:rsid w:val="001B54E7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E6D0A"/>
    <w:rsid w:val="001F0CD7"/>
    <w:rsid w:val="001F3ACF"/>
    <w:rsid w:val="001F4F17"/>
    <w:rsid w:val="001F6A84"/>
    <w:rsid w:val="00201D3B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46EBA"/>
    <w:rsid w:val="00251658"/>
    <w:rsid w:val="0025206D"/>
    <w:rsid w:val="0025239E"/>
    <w:rsid w:val="00260D7B"/>
    <w:rsid w:val="0026157F"/>
    <w:rsid w:val="00264552"/>
    <w:rsid w:val="00264A22"/>
    <w:rsid w:val="00264A83"/>
    <w:rsid w:val="00266926"/>
    <w:rsid w:val="00267116"/>
    <w:rsid w:val="00272D32"/>
    <w:rsid w:val="00274438"/>
    <w:rsid w:val="00274C4B"/>
    <w:rsid w:val="00285488"/>
    <w:rsid w:val="002878D3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16B1"/>
    <w:rsid w:val="002A4557"/>
    <w:rsid w:val="002A537E"/>
    <w:rsid w:val="002B1C36"/>
    <w:rsid w:val="002B2696"/>
    <w:rsid w:val="002B2A14"/>
    <w:rsid w:val="002B2FB5"/>
    <w:rsid w:val="002B348B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5ADC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1FF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48EA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5987"/>
    <w:rsid w:val="003B6636"/>
    <w:rsid w:val="003B744B"/>
    <w:rsid w:val="003C1135"/>
    <w:rsid w:val="003C2FA2"/>
    <w:rsid w:val="003C3A27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8FC"/>
    <w:rsid w:val="00466AD8"/>
    <w:rsid w:val="00467A47"/>
    <w:rsid w:val="0047143A"/>
    <w:rsid w:val="00472974"/>
    <w:rsid w:val="00472DDA"/>
    <w:rsid w:val="00474C62"/>
    <w:rsid w:val="00475E61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B7BD6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2AAA"/>
    <w:rsid w:val="00544151"/>
    <w:rsid w:val="00544648"/>
    <w:rsid w:val="00544F05"/>
    <w:rsid w:val="0054512C"/>
    <w:rsid w:val="00545BF1"/>
    <w:rsid w:val="00545FFD"/>
    <w:rsid w:val="00550643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5B3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16B3"/>
    <w:rsid w:val="006628A5"/>
    <w:rsid w:val="00663BFF"/>
    <w:rsid w:val="0067076B"/>
    <w:rsid w:val="006764E0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41C6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D7647"/>
    <w:rsid w:val="006E15B2"/>
    <w:rsid w:val="006E2DC6"/>
    <w:rsid w:val="006E55DD"/>
    <w:rsid w:val="006E5E41"/>
    <w:rsid w:val="006E7BF0"/>
    <w:rsid w:val="006F07C6"/>
    <w:rsid w:val="006F1306"/>
    <w:rsid w:val="006F4357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3E4F"/>
    <w:rsid w:val="00726B48"/>
    <w:rsid w:val="00726F42"/>
    <w:rsid w:val="00730478"/>
    <w:rsid w:val="00731607"/>
    <w:rsid w:val="007325F2"/>
    <w:rsid w:val="00735590"/>
    <w:rsid w:val="00737698"/>
    <w:rsid w:val="00740F24"/>
    <w:rsid w:val="00741212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57C8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1F7D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0FA8"/>
    <w:rsid w:val="00801A05"/>
    <w:rsid w:val="00803765"/>
    <w:rsid w:val="00804920"/>
    <w:rsid w:val="008052AD"/>
    <w:rsid w:val="00805369"/>
    <w:rsid w:val="00807F5A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1CC"/>
    <w:rsid w:val="008573B5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3516"/>
    <w:rsid w:val="00875E2E"/>
    <w:rsid w:val="00876108"/>
    <w:rsid w:val="008810A2"/>
    <w:rsid w:val="008838DD"/>
    <w:rsid w:val="00887059"/>
    <w:rsid w:val="00891401"/>
    <w:rsid w:val="008920EF"/>
    <w:rsid w:val="0089552A"/>
    <w:rsid w:val="0089629C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B1B"/>
    <w:rsid w:val="008D5EB8"/>
    <w:rsid w:val="008D6B2C"/>
    <w:rsid w:val="008D6C45"/>
    <w:rsid w:val="008E0011"/>
    <w:rsid w:val="008E042C"/>
    <w:rsid w:val="008E0477"/>
    <w:rsid w:val="008E0599"/>
    <w:rsid w:val="008E18F4"/>
    <w:rsid w:val="008E3746"/>
    <w:rsid w:val="008E4024"/>
    <w:rsid w:val="008E54C3"/>
    <w:rsid w:val="008E6489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166D2"/>
    <w:rsid w:val="009209E4"/>
    <w:rsid w:val="00921787"/>
    <w:rsid w:val="009227E1"/>
    <w:rsid w:val="00927320"/>
    <w:rsid w:val="00927AB5"/>
    <w:rsid w:val="0093267A"/>
    <w:rsid w:val="00933A94"/>
    <w:rsid w:val="00934B94"/>
    <w:rsid w:val="00935955"/>
    <w:rsid w:val="00937440"/>
    <w:rsid w:val="00937CCC"/>
    <w:rsid w:val="00943FB6"/>
    <w:rsid w:val="009444BC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13C"/>
    <w:rsid w:val="00973B90"/>
    <w:rsid w:val="0097473F"/>
    <w:rsid w:val="009765BD"/>
    <w:rsid w:val="00983EB5"/>
    <w:rsid w:val="00984477"/>
    <w:rsid w:val="0098485E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065"/>
    <w:rsid w:val="00A30BC3"/>
    <w:rsid w:val="00A3563B"/>
    <w:rsid w:val="00A3721F"/>
    <w:rsid w:val="00A37570"/>
    <w:rsid w:val="00A41963"/>
    <w:rsid w:val="00A44501"/>
    <w:rsid w:val="00A476ED"/>
    <w:rsid w:val="00A507CB"/>
    <w:rsid w:val="00A514CD"/>
    <w:rsid w:val="00A526B6"/>
    <w:rsid w:val="00A52724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5F03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4086"/>
    <w:rsid w:val="00AC740A"/>
    <w:rsid w:val="00AD0ED0"/>
    <w:rsid w:val="00AD29D5"/>
    <w:rsid w:val="00AD2A66"/>
    <w:rsid w:val="00AD3E78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07B6E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3F8A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3D8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5434"/>
    <w:rsid w:val="00C57E7B"/>
    <w:rsid w:val="00C57FC3"/>
    <w:rsid w:val="00C61571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D4D"/>
    <w:rsid w:val="00CB0EC3"/>
    <w:rsid w:val="00CB107F"/>
    <w:rsid w:val="00CB1E24"/>
    <w:rsid w:val="00CB7750"/>
    <w:rsid w:val="00CC109A"/>
    <w:rsid w:val="00CC176E"/>
    <w:rsid w:val="00CC21FB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6632"/>
    <w:rsid w:val="00CE7D6F"/>
    <w:rsid w:val="00CF0051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1CF"/>
    <w:rsid w:val="00D03250"/>
    <w:rsid w:val="00D03718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5B7"/>
    <w:rsid w:val="00D515F7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937D5"/>
    <w:rsid w:val="00D94E9F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5CF5"/>
    <w:rsid w:val="00E0693B"/>
    <w:rsid w:val="00E10BD0"/>
    <w:rsid w:val="00E115C4"/>
    <w:rsid w:val="00E11BE8"/>
    <w:rsid w:val="00E12363"/>
    <w:rsid w:val="00E12786"/>
    <w:rsid w:val="00E1543A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68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52D8"/>
    <w:rsid w:val="00FA6BC7"/>
    <w:rsid w:val="00FB0EE1"/>
    <w:rsid w:val="00FB1136"/>
    <w:rsid w:val="00FB3469"/>
    <w:rsid w:val="00FB45BC"/>
    <w:rsid w:val="00FB63DE"/>
    <w:rsid w:val="00FB7913"/>
    <w:rsid w:val="00FC0207"/>
    <w:rsid w:val="00FC5A5F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476E"/>
    <w:rsid w:val="00FF5362"/>
    <w:rsid w:val="00FF536B"/>
    <w:rsid w:val="0935853B"/>
    <w:rsid w:val="25B47B8B"/>
    <w:rsid w:val="3B05C1BB"/>
    <w:rsid w:val="3E9B70FA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2911D47-3170-47CB-A903-C486A433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15371</Words>
  <Characters>8762</Characters>
  <Application>Microsoft Office Word</Application>
  <DocSecurity>0</DocSecurity>
  <Lines>73</Lines>
  <Paragraphs>48</Paragraphs>
  <ScaleCrop>false</ScaleCrop>
  <Company>AUN of PLWH</Company>
  <LinksUpToDate>false</LinksUpToDate>
  <CharactersWithSpaces>24085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111</cp:revision>
  <cp:lastPrinted>2023-12-30T14:52:00Z</cp:lastPrinted>
  <dcterms:created xsi:type="dcterms:W3CDTF">2024-10-30T03:42:00Z</dcterms:created>
  <dcterms:modified xsi:type="dcterms:W3CDTF">2025-09-10T13:48:00Z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