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787" w14:textId="77777777" w:rsidR="00A86D2A" w:rsidRDefault="004E56F9" w:rsidP="00A86D2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>
        <w:rPr>
          <w:rFonts w:ascii="Georgia" w:hAnsi="Georgia"/>
          <w:color w:val="FF0000"/>
          <w:sz w:val="36"/>
          <w:szCs w:val="36"/>
        </w:rPr>
        <w:t>Технічне завдання</w:t>
      </w:r>
      <w:r w:rsidR="00B1397D" w:rsidRPr="00AD2460">
        <w:rPr>
          <w:rFonts w:ascii="Georgia" w:hAnsi="Georgia"/>
          <w:color w:val="FF0000"/>
          <w:sz w:val="36"/>
          <w:szCs w:val="36"/>
        </w:rPr>
        <w:br/>
      </w:r>
      <w:r w:rsidR="0084369F">
        <w:rPr>
          <w:rFonts w:ascii="Georgia" w:hAnsi="Georgia"/>
          <w:color w:val="FF0000"/>
          <w:sz w:val="36"/>
          <w:szCs w:val="36"/>
        </w:rPr>
        <w:t>Зовнішнє</w:t>
      </w:r>
      <w:r w:rsidR="006C48FF">
        <w:rPr>
          <w:rFonts w:ascii="Georgia" w:hAnsi="Georgia"/>
          <w:color w:val="FF0000"/>
          <w:sz w:val="36"/>
          <w:szCs w:val="36"/>
        </w:rPr>
        <w:t xml:space="preserve"> </w:t>
      </w:r>
      <w:r w:rsidR="00787C24">
        <w:rPr>
          <w:rFonts w:ascii="Georgia" w:hAnsi="Georgia"/>
          <w:color w:val="FF0000"/>
          <w:sz w:val="36"/>
          <w:szCs w:val="36"/>
        </w:rPr>
        <w:t>дослідження</w:t>
      </w:r>
      <w:r w:rsidR="006C48FF">
        <w:rPr>
          <w:rFonts w:ascii="Georgia" w:hAnsi="Georgia"/>
          <w:color w:val="FF0000"/>
          <w:sz w:val="36"/>
          <w:szCs w:val="36"/>
        </w:rPr>
        <w:t xml:space="preserve"> Служби реагування на НС ТЧХУ</w:t>
      </w:r>
      <w:r w:rsidR="00136F42" w:rsidRPr="00AD2460">
        <w:rPr>
          <w:rFonts w:ascii="Aptos" w:hAnsi="Aptos"/>
          <w:b w:val="0"/>
          <w:bCs w:val="0"/>
          <w:color w:val="FF0000"/>
          <w:sz w:val="24"/>
          <w:szCs w:val="24"/>
        </w:rPr>
        <w:br/>
      </w:r>
    </w:p>
    <w:p w14:paraId="55A99118" w14:textId="3D1054C5" w:rsidR="00B1397D" w:rsidRDefault="0082428B" w:rsidP="009B33BE">
      <w:pPr>
        <w:pStyle w:val="1"/>
        <w:numPr>
          <w:ilvl w:val="0"/>
          <w:numId w:val="34"/>
        </w:numPr>
        <w:spacing w:before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77AC7">
        <w:rPr>
          <w:rFonts w:ascii="Times New Roman" w:hAnsi="Times New Roman" w:cs="Times New Roman"/>
          <w:color w:val="FF0000"/>
          <w:sz w:val="24"/>
          <w:szCs w:val="24"/>
        </w:rPr>
        <w:t>Контекст</w:t>
      </w:r>
    </w:p>
    <w:p w14:paraId="155A1CD2" w14:textId="77777777" w:rsidR="009B33BE" w:rsidRPr="009B33BE" w:rsidRDefault="009B33BE" w:rsidP="009B33BE">
      <w:pPr>
        <w:spacing w:after="0"/>
      </w:pPr>
    </w:p>
    <w:p w14:paraId="2C684763" w14:textId="7F8C4DBC" w:rsidR="00B1397D" w:rsidRPr="00A86D2A" w:rsidRDefault="0035681D" w:rsidP="001D6B9C">
      <w:pPr>
        <w:pStyle w:val="1"/>
        <w:spacing w:before="0"/>
        <w:ind w:left="142" w:firstLine="567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Служба реагування на надзвичайні ситуації (</w:t>
      </w:r>
      <w:r w:rsidR="00F624CC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НС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) Товариства Червоного Хреста України (ТЧХУ) відіграє </w:t>
      </w:r>
      <w:proofErr w:type="spellStart"/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життєво</w:t>
      </w:r>
      <w:proofErr w:type="spellEnd"/>
      <w:r w:rsidR="004055E9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важливу роль у підтримці цивільного населення, яке постраждало від стихійних лих та надзвичайних ситуацій, особливо в контексті триваючого конфлікту та його впливу на ризик стихійних лих в Україні. З огляду на зростаючі вимоги до </w:t>
      </w:r>
      <w:r w:rsidR="004055E9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лужби та прагнення зміцнити її довгострокову стійкість, ТЧХУ прагне провести зовнішн</w:t>
      </w:r>
      <w:r w:rsidR="00A11B77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є дослідження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8C201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діяльності </w:t>
      </w:r>
      <w:r w:rsidR="009D3A0F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</w:t>
      </w:r>
      <w:r w:rsidR="007A504C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лужби реагування на НС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 яка розгляне її ефективність, результативність та сталість</w:t>
      </w:r>
      <w:r w:rsidR="00ED47FA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 а також перспектив</w:t>
      </w:r>
      <w:r w:rsidR="00937C28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ні напрямки її розвитку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. </w:t>
      </w:r>
      <w:r w:rsidR="00991955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br/>
      </w:r>
    </w:p>
    <w:p w14:paraId="10D54EB4" w14:textId="2F165E21" w:rsidR="00B1397D" w:rsidRDefault="00B1397D" w:rsidP="00ED16A8">
      <w:pPr>
        <w:pStyle w:val="1"/>
        <w:spacing w:before="0" w:line="240" w:lineRule="auto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220C1C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 w:rsidR="00C16238" w:rsidRPr="00220C1C">
        <w:rPr>
          <w:rFonts w:ascii="Times New Roman" w:hAnsi="Times New Roman" w:cs="Times New Roman"/>
          <w:color w:val="FF0000"/>
          <w:sz w:val="24"/>
          <w:szCs w:val="24"/>
        </w:rPr>
        <w:t>Задачі</w:t>
      </w:r>
    </w:p>
    <w:p w14:paraId="37B6B877" w14:textId="77777777" w:rsidR="009B33BE" w:rsidRPr="009B33BE" w:rsidRDefault="009B33BE" w:rsidP="009B33BE">
      <w:pPr>
        <w:spacing w:after="0"/>
      </w:pPr>
    </w:p>
    <w:p w14:paraId="62390D5B" w14:textId="27A67F9C" w:rsidR="00B1397D" w:rsidRPr="00A86D2A" w:rsidRDefault="00787C24" w:rsidP="00ED16A8">
      <w:pPr>
        <w:pStyle w:val="1"/>
        <w:spacing w:before="0" w:line="240" w:lineRule="auto"/>
        <w:ind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Дослідження</w:t>
      </w:r>
      <w:r w:rsidR="00AE573F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буде спрямоване на досягнення двох основних результатів:</w:t>
      </w:r>
    </w:p>
    <w:p w14:paraId="5D2C53AA" w14:textId="392171F1" w:rsidR="00787C24" w:rsidRPr="00A86D2A" w:rsidRDefault="00787C24" w:rsidP="00ED16A8">
      <w:pPr>
        <w:pStyle w:val="1"/>
        <w:numPr>
          <w:ilvl w:val="0"/>
          <w:numId w:val="11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Надання рекомендацій щодо структури Служби реагування та управління її компонентами, розробка структури управління</w:t>
      </w:r>
      <w:r w:rsidR="4EE6693D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що буде включена в перегляд Положення про ЗШР</w:t>
      </w:r>
      <w:r w:rsidR="000C063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(Загони швидкого реагування)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00C1D556" w14:textId="1E042CB3" w:rsidR="00B1397D" w:rsidRPr="009B33BE" w:rsidRDefault="00D9332F" w:rsidP="009B33BE">
      <w:pPr>
        <w:pStyle w:val="1"/>
        <w:numPr>
          <w:ilvl w:val="0"/>
          <w:numId w:val="11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Оцін</w:t>
      </w:r>
      <w:r w:rsidR="00937C28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ка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витрат на розвиток та утримання </w:t>
      </w:r>
      <w:r w:rsidR="004250F9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Служби </w:t>
      </w:r>
      <w:r w:rsidR="0057798B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реагування на НС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 оцінити її потенціал отримання доходу шляхом оцінки ринку та розробити довгострокові фінансові сценарії для підтримки її сталості.</w:t>
      </w:r>
      <w:r w:rsidR="00136F42" w:rsidRPr="009B33B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br/>
      </w:r>
    </w:p>
    <w:p w14:paraId="7040EDD9" w14:textId="26F40ED8" w:rsidR="00B1397D" w:rsidRPr="00220C1C" w:rsidRDefault="00B1397D" w:rsidP="00ED16A8">
      <w:pPr>
        <w:pStyle w:val="1"/>
        <w:spacing w:before="0" w:line="240" w:lineRule="auto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220C1C">
        <w:rPr>
          <w:rFonts w:ascii="Times New Roman" w:hAnsi="Times New Roman" w:cs="Times New Roman"/>
          <w:color w:val="FF0000"/>
          <w:sz w:val="24"/>
          <w:szCs w:val="24"/>
        </w:rPr>
        <w:t xml:space="preserve">3. </w:t>
      </w:r>
      <w:r w:rsidR="008315E8" w:rsidRPr="00220C1C">
        <w:rPr>
          <w:rFonts w:ascii="Times New Roman" w:hAnsi="Times New Roman" w:cs="Times New Roman"/>
          <w:color w:val="FF0000"/>
          <w:sz w:val="24"/>
          <w:szCs w:val="24"/>
        </w:rPr>
        <w:t>Обсяг робіт</w:t>
      </w:r>
      <w:r w:rsidRPr="00220C1C"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05F181B7" w14:textId="3B7E0BCB" w:rsidR="00B1397D" w:rsidRPr="00A86D2A" w:rsidRDefault="00340DD2" w:rsidP="00ED16A8">
      <w:pPr>
        <w:pStyle w:val="1"/>
        <w:spacing w:before="0" w:line="240" w:lineRule="auto"/>
        <w:ind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Консультаці</w:t>
      </w:r>
      <w:r w:rsidR="001836FD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ї надаватимуться </w:t>
      </w:r>
      <w:r w:rsidR="00484CE9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для вирішення наступних задач</w:t>
      </w:r>
      <w:r w:rsidR="006C57C2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:</w:t>
      </w:r>
      <w:r w:rsidR="00B1397D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br/>
      </w:r>
    </w:p>
    <w:p w14:paraId="4577DD9C" w14:textId="7C16FB72" w:rsidR="00A26A79" w:rsidRPr="00A86D2A" w:rsidRDefault="00D34EFE" w:rsidP="009B33BE">
      <w:pPr>
        <w:pStyle w:val="1"/>
        <w:numPr>
          <w:ilvl w:val="0"/>
          <w:numId w:val="33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color w:val="auto"/>
          <w:sz w:val="22"/>
          <w:szCs w:val="22"/>
        </w:rPr>
        <w:t>Ефективність та стабільність Служби</w:t>
      </w:r>
      <w:r w:rsidR="004055E9" w:rsidRPr="00A86D2A">
        <w:rPr>
          <w:rFonts w:ascii="Times New Roman" w:hAnsi="Times New Roman" w:cs="Times New Roman"/>
          <w:color w:val="auto"/>
          <w:sz w:val="22"/>
          <w:szCs w:val="22"/>
        </w:rPr>
        <w:t xml:space="preserve"> реагування на НС</w:t>
      </w:r>
    </w:p>
    <w:p w14:paraId="64657D83" w14:textId="6D10679E" w:rsidR="00D35716" w:rsidRPr="00A86D2A" w:rsidRDefault="00D35716" w:rsidP="00ED16A8">
      <w:pPr>
        <w:pStyle w:val="1"/>
        <w:numPr>
          <w:ilvl w:val="0"/>
          <w:numId w:val="28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Вивчення джерел фі</w:t>
      </w:r>
      <w:r w:rsidR="006C629F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нан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сування, підтримки донорів та </w:t>
      </w:r>
      <w:r w:rsidR="00363620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сценаріїв 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фінансової </w:t>
      </w:r>
      <w:r w:rsidR="00BC798D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стабільності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248CFE35" w14:textId="6DD6CDA2" w:rsidR="00D35716" w:rsidRPr="00A86D2A" w:rsidRDefault="00D35716" w:rsidP="00ED16A8">
      <w:pPr>
        <w:pStyle w:val="1"/>
        <w:numPr>
          <w:ilvl w:val="0"/>
          <w:numId w:val="28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Перегляд поточної діяльності, </w:t>
      </w:r>
      <w:r w:rsidR="0033212C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наявних 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людських ресурсів, утримання персоналу та волонтерів, обладнання, механізмів реагування та стратегій нарощування потенціалу.</w:t>
      </w:r>
    </w:p>
    <w:p w14:paraId="26AEBA3B" w14:textId="4574A13D" w:rsidR="00D35716" w:rsidRPr="00A86D2A" w:rsidRDefault="00D35716" w:rsidP="00ED16A8">
      <w:pPr>
        <w:pStyle w:val="1"/>
        <w:numPr>
          <w:ilvl w:val="0"/>
          <w:numId w:val="28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Оцінка потенціалу </w:t>
      </w:r>
      <w:r w:rsidR="00553D0F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розвитку </w:t>
      </w:r>
      <w:r w:rsidR="003547B4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Служби </w:t>
      </w:r>
      <w:r w:rsidR="004055E9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реагування на НС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 визначаючи вимоги, прогалини та можливості.</w:t>
      </w:r>
    </w:p>
    <w:p w14:paraId="563E67BE" w14:textId="49CC528A" w:rsidR="00064EC0" w:rsidRPr="00A86D2A" w:rsidRDefault="00035504" w:rsidP="00ED16A8">
      <w:pPr>
        <w:pStyle w:val="1"/>
        <w:numPr>
          <w:ilvl w:val="0"/>
          <w:numId w:val="18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Аналіз</w:t>
      </w:r>
      <w:r w:rsidR="00064EC0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моделі отримання доходів, включаючи:</w:t>
      </w:r>
    </w:p>
    <w:p w14:paraId="331EC01D" w14:textId="33865EBE" w:rsidR="00064EC0" w:rsidRPr="00A86D2A" w:rsidRDefault="00064EC0" w:rsidP="00252711">
      <w:pPr>
        <w:pStyle w:val="1"/>
        <w:spacing w:before="0" w:line="240" w:lineRule="auto"/>
        <w:ind w:firstLine="851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• Транспортування цивільного населення</w:t>
      </w:r>
      <w:r w:rsidR="005716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3DBCD514" w14:textId="44ED74D1" w:rsidR="00064EC0" w:rsidRPr="00A86D2A" w:rsidRDefault="00064EC0" w:rsidP="00252711">
      <w:pPr>
        <w:pStyle w:val="1"/>
        <w:spacing w:before="0" w:line="240" w:lineRule="auto"/>
        <w:ind w:firstLine="851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• Евакуацію військовослужбовців</w:t>
      </w:r>
      <w:r w:rsidR="005716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279794E6" w14:textId="64A74EF0" w:rsidR="00B61B22" w:rsidRPr="00A86D2A" w:rsidRDefault="00064EC0" w:rsidP="00252711">
      <w:pPr>
        <w:pStyle w:val="1"/>
        <w:spacing w:before="0" w:line="240" w:lineRule="auto"/>
        <w:ind w:firstLine="851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• Навчання населення та організацій</w:t>
      </w:r>
      <w:r w:rsidR="005716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329481A6" w14:textId="018C454D" w:rsidR="00B61B22" w:rsidRPr="00A86D2A" w:rsidRDefault="00B61B22" w:rsidP="00252711">
      <w:pPr>
        <w:pStyle w:val="1"/>
        <w:spacing w:before="0" w:line="240" w:lineRule="auto"/>
        <w:ind w:firstLine="851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• Супровід масових заходів</w:t>
      </w:r>
      <w:r w:rsidR="005716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1633FF01" w14:textId="7D4B54F7" w:rsidR="00064EC0" w:rsidRPr="00A86D2A" w:rsidRDefault="00064EC0" w:rsidP="00252711">
      <w:pPr>
        <w:pStyle w:val="1"/>
        <w:spacing w:before="0" w:line="240" w:lineRule="auto"/>
        <w:ind w:firstLine="851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• Угоди про рівень обслуговування з державними установами, такими як Державна служба</w:t>
      </w:r>
      <w:r w:rsidR="008F438C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України з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5A6C04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надзвичайних ситуацій</w:t>
      </w:r>
      <w:r w:rsidR="005716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</w:p>
    <w:p w14:paraId="63CA7831" w14:textId="4E077833" w:rsidR="00064EC0" w:rsidRPr="00A86D2A" w:rsidRDefault="00064EC0" w:rsidP="00252711">
      <w:pPr>
        <w:pStyle w:val="1"/>
        <w:spacing w:before="0" w:line="240" w:lineRule="auto"/>
        <w:ind w:firstLine="851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• Корпоративне спонсорство, внески в рамках корпоративної соціальної відповідальності, бізнес-схеми та фінансування донорів</w:t>
      </w:r>
      <w:r w:rsidR="005716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6971DDCB" w14:textId="4C079CD5" w:rsidR="00064EC0" w:rsidRPr="00A86D2A" w:rsidRDefault="00064EC0" w:rsidP="00ED16A8">
      <w:pPr>
        <w:pStyle w:val="1"/>
        <w:numPr>
          <w:ilvl w:val="0"/>
          <w:numId w:val="18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Визнач</w:t>
      </w:r>
      <w:r w:rsidR="002527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ення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заход</w:t>
      </w:r>
      <w:r w:rsidR="002527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ів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щодо економії коштів та операційної ефективності</w:t>
      </w:r>
      <w:r w:rsidR="00FE5A98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5056A776" w14:textId="706DD90C" w:rsidR="00064EC0" w:rsidRPr="00A86D2A" w:rsidRDefault="00064EC0" w:rsidP="00ED16A8">
      <w:pPr>
        <w:pStyle w:val="1"/>
        <w:numPr>
          <w:ilvl w:val="0"/>
          <w:numId w:val="18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Оцін</w:t>
      </w:r>
      <w:r w:rsidR="002527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ка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довгостроков</w:t>
      </w:r>
      <w:r w:rsidR="002527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их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ризик</w:t>
      </w:r>
      <w:r w:rsidR="002527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ів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та можливост</w:t>
      </w:r>
      <w:r w:rsidR="002527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ей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для масштабування операцій</w:t>
      </w:r>
      <w:r w:rsidR="00FE5A98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5633B6BF" w14:textId="4E3DD1E4" w:rsidR="00064EC0" w:rsidRPr="00A86D2A" w:rsidRDefault="00064EC0" w:rsidP="00ED16A8">
      <w:pPr>
        <w:pStyle w:val="1"/>
        <w:numPr>
          <w:ilvl w:val="0"/>
          <w:numId w:val="18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Перегл</w:t>
      </w:r>
      <w:r w:rsidR="004055E9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яд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національ</w:t>
      </w:r>
      <w:r w:rsidR="004055E9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ного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законодавств</w:t>
      </w:r>
      <w:r w:rsidR="004055E9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а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щодо волонтерства під час реагування на надзвичайні ситуації та інтеграції </w:t>
      </w:r>
      <w:r w:rsidR="00B16604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ТЧХУ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до </w:t>
      </w:r>
      <w:r w:rsidR="00153540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Єдиної державної </w:t>
      </w:r>
      <w:r w:rsidR="004F692E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системи</w:t>
      </w:r>
      <w:r w:rsidR="00153540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9C4436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цивільного захисту</w:t>
      </w:r>
      <w:r w:rsidR="00EA7C0B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для оцінки впливу на </w:t>
      </w:r>
      <w:r w:rsidR="00CB2FE8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Служб</w:t>
      </w:r>
      <w:r w:rsidR="004055E9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у</w:t>
      </w:r>
      <w:r w:rsidR="00CB2FE8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реагування на НС</w:t>
      </w:r>
      <w:r w:rsidR="00D4309B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  <w:r w:rsidR="00D11BB2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Розробка пропозицій щодо законодавчого затвердження </w:t>
      </w:r>
      <w:r w:rsidR="00D349B5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сутності «волонтер-рятувальник».</w:t>
      </w:r>
    </w:p>
    <w:p w14:paraId="47425BAC" w14:textId="77777777" w:rsidR="00064EC0" w:rsidRPr="00A86D2A" w:rsidRDefault="00064EC0" w:rsidP="00ED16A8">
      <w:pPr>
        <w:pStyle w:val="1"/>
        <w:spacing w:before="0" w:line="240" w:lineRule="auto"/>
        <w:ind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14:paraId="17F28D9B" w14:textId="12190570" w:rsidR="00FA3CF2" w:rsidRPr="009B33BE" w:rsidRDefault="00EC616B" w:rsidP="009B33BE">
      <w:pPr>
        <w:pStyle w:val="ae"/>
        <w:numPr>
          <w:ilvl w:val="0"/>
          <w:numId w:val="33"/>
        </w:numPr>
        <w:spacing w:after="0" w:line="240" w:lineRule="auto"/>
        <w:rPr>
          <w:rFonts w:ascii="Times New Roman" w:eastAsiaTheme="majorEastAsia" w:hAnsi="Times New Roman" w:cs="Times New Roman"/>
        </w:rPr>
      </w:pPr>
      <w:r w:rsidRPr="009B33BE">
        <w:rPr>
          <w:rFonts w:ascii="Times New Roman" w:hAnsi="Times New Roman" w:cs="Times New Roman"/>
          <w:b/>
          <w:bCs/>
        </w:rPr>
        <w:t xml:space="preserve">Фінансовий аналіз </w:t>
      </w:r>
      <w:r w:rsidR="007155C2" w:rsidRPr="009B33BE">
        <w:rPr>
          <w:rFonts w:ascii="Times New Roman" w:hAnsi="Times New Roman" w:cs="Times New Roman"/>
          <w:b/>
          <w:bCs/>
        </w:rPr>
        <w:t>Служб</w:t>
      </w:r>
      <w:r w:rsidR="004F692E" w:rsidRPr="009B33BE">
        <w:rPr>
          <w:rFonts w:ascii="Times New Roman" w:hAnsi="Times New Roman" w:cs="Times New Roman"/>
          <w:b/>
          <w:bCs/>
        </w:rPr>
        <w:t>и</w:t>
      </w:r>
      <w:r w:rsidR="007155C2" w:rsidRPr="009B33BE">
        <w:rPr>
          <w:rFonts w:ascii="Times New Roman" w:hAnsi="Times New Roman" w:cs="Times New Roman"/>
          <w:b/>
          <w:bCs/>
        </w:rPr>
        <w:t xml:space="preserve"> </w:t>
      </w:r>
      <w:r w:rsidR="004055E9" w:rsidRPr="009B33BE">
        <w:rPr>
          <w:rFonts w:ascii="Times New Roman" w:hAnsi="Times New Roman" w:cs="Times New Roman"/>
          <w:b/>
          <w:bCs/>
        </w:rPr>
        <w:t>реагування на НС</w:t>
      </w:r>
      <w:r w:rsidR="007155C2" w:rsidRPr="009B33BE">
        <w:rPr>
          <w:rFonts w:ascii="Times New Roman" w:hAnsi="Times New Roman" w:cs="Times New Roman"/>
          <w:b/>
          <w:bCs/>
        </w:rPr>
        <w:t xml:space="preserve"> </w:t>
      </w:r>
    </w:p>
    <w:p w14:paraId="1A71BD5C" w14:textId="70008781" w:rsidR="00B278A3" w:rsidRPr="00A86D2A" w:rsidRDefault="00B278A3" w:rsidP="00ED16A8">
      <w:pPr>
        <w:numPr>
          <w:ilvl w:val="0"/>
          <w:numId w:val="26"/>
        </w:numPr>
        <w:spacing w:after="0" w:line="240" w:lineRule="auto"/>
        <w:ind w:left="0" w:firstLine="426"/>
        <w:rPr>
          <w:rFonts w:ascii="Times New Roman" w:eastAsia="Aptos" w:hAnsi="Times New Roman" w:cs="Times New Roman"/>
        </w:rPr>
      </w:pPr>
      <w:r w:rsidRPr="00A86D2A">
        <w:rPr>
          <w:rFonts w:ascii="Times New Roman" w:eastAsia="Aptos" w:hAnsi="Times New Roman" w:cs="Times New Roman"/>
        </w:rPr>
        <w:t>Перегляд правової баз</w:t>
      </w:r>
      <w:r w:rsidR="0099152D" w:rsidRPr="00A86D2A">
        <w:rPr>
          <w:rFonts w:ascii="Times New Roman" w:eastAsia="Aptos" w:hAnsi="Times New Roman" w:cs="Times New Roman"/>
        </w:rPr>
        <w:t>и</w:t>
      </w:r>
      <w:r w:rsidRPr="00A86D2A">
        <w:rPr>
          <w:rFonts w:ascii="Times New Roman" w:eastAsia="Aptos" w:hAnsi="Times New Roman" w:cs="Times New Roman"/>
        </w:rPr>
        <w:t xml:space="preserve">, що регулює </w:t>
      </w:r>
      <w:r w:rsidR="621C8DBB" w:rsidRPr="00A86D2A">
        <w:rPr>
          <w:rFonts w:ascii="Times New Roman" w:eastAsia="Aptos" w:hAnsi="Times New Roman" w:cs="Times New Roman"/>
        </w:rPr>
        <w:t>діяльність</w:t>
      </w:r>
      <w:r w:rsidRPr="00A86D2A">
        <w:rPr>
          <w:rFonts w:ascii="Times New Roman" w:eastAsia="Aptos" w:hAnsi="Times New Roman" w:cs="Times New Roman"/>
        </w:rPr>
        <w:t xml:space="preserve"> </w:t>
      </w:r>
      <w:r w:rsidR="00686084" w:rsidRPr="00A86D2A">
        <w:rPr>
          <w:rFonts w:ascii="Times New Roman" w:eastAsia="Aptos" w:hAnsi="Times New Roman" w:cs="Times New Roman"/>
        </w:rPr>
        <w:t>С</w:t>
      </w:r>
      <w:r w:rsidR="004F692E" w:rsidRPr="00A86D2A">
        <w:rPr>
          <w:rFonts w:ascii="Times New Roman" w:eastAsia="Aptos" w:hAnsi="Times New Roman" w:cs="Times New Roman"/>
        </w:rPr>
        <w:t>лужби</w:t>
      </w:r>
      <w:r w:rsidR="00686084" w:rsidRPr="00A86D2A">
        <w:rPr>
          <w:rFonts w:ascii="Times New Roman" w:eastAsia="Aptos" w:hAnsi="Times New Roman" w:cs="Times New Roman"/>
        </w:rPr>
        <w:t xml:space="preserve"> реагування на НС</w:t>
      </w:r>
      <w:r w:rsidRPr="00A86D2A">
        <w:rPr>
          <w:rFonts w:ascii="Times New Roman" w:eastAsia="Aptos" w:hAnsi="Times New Roman" w:cs="Times New Roman"/>
        </w:rPr>
        <w:t>, а також потенціал для діяльності, що генерує дохід, у цій базі.</w:t>
      </w:r>
    </w:p>
    <w:p w14:paraId="187A399B" w14:textId="103CE09A" w:rsidR="00B278A3" w:rsidRPr="00A86D2A" w:rsidRDefault="00B278A3" w:rsidP="00ED16A8">
      <w:pPr>
        <w:numPr>
          <w:ilvl w:val="0"/>
          <w:numId w:val="26"/>
        </w:numPr>
        <w:spacing w:after="0" w:line="240" w:lineRule="auto"/>
        <w:ind w:left="0" w:firstLine="426"/>
        <w:rPr>
          <w:rFonts w:ascii="Times New Roman" w:eastAsia="Aptos" w:hAnsi="Times New Roman" w:cs="Times New Roman"/>
        </w:rPr>
      </w:pPr>
      <w:r w:rsidRPr="00A86D2A">
        <w:rPr>
          <w:rFonts w:ascii="Times New Roman" w:eastAsia="Aptos" w:hAnsi="Times New Roman" w:cs="Times New Roman"/>
        </w:rPr>
        <w:lastRenderedPageBreak/>
        <w:t>Оцін</w:t>
      </w:r>
      <w:r w:rsidR="00585AEE" w:rsidRPr="00A86D2A">
        <w:rPr>
          <w:rFonts w:ascii="Times New Roman" w:eastAsia="Aptos" w:hAnsi="Times New Roman" w:cs="Times New Roman"/>
        </w:rPr>
        <w:t>ка</w:t>
      </w:r>
      <w:r w:rsidRPr="00A86D2A">
        <w:rPr>
          <w:rFonts w:ascii="Times New Roman" w:eastAsia="Aptos" w:hAnsi="Times New Roman" w:cs="Times New Roman"/>
        </w:rPr>
        <w:t xml:space="preserve"> витрат, необхідн</w:t>
      </w:r>
      <w:r w:rsidR="00585AEE" w:rsidRPr="00A86D2A">
        <w:rPr>
          <w:rFonts w:ascii="Times New Roman" w:eastAsia="Aptos" w:hAnsi="Times New Roman" w:cs="Times New Roman"/>
        </w:rPr>
        <w:t>их</w:t>
      </w:r>
      <w:r w:rsidRPr="00A86D2A">
        <w:rPr>
          <w:rFonts w:ascii="Times New Roman" w:eastAsia="Aptos" w:hAnsi="Times New Roman" w:cs="Times New Roman"/>
        </w:rPr>
        <w:t xml:space="preserve"> для розвитку та утримання </w:t>
      </w:r>
      <w:r w:rsidR="00CB2FE8" w:rsidRPr="00A86D2A">
        <w:rPr>
          <w:rFonts w:ascii="Times New Roman" w:eastAsia="Aptos" w:hAnsi="Times New Roman" w:cs="Times New Roman"/>
        </w:rPr>
        <w:t xml:space="preserve">Служби </w:t>
      </w:r>
      <w:r w:rsidR="004055E9" w:rsidRPr="00A86D2A">
        <w:rPr>
          <w:rFonts w:ascii="Times New Roman" w:eastAsia="Aptos" w:hAnsi="Times New Roman" w:cs="Times New Roman"/>
        </w:rPr>
        <w:t>реагування</w:t>
      </w:r>
      <w:r w:rsidRPr="00A86D2A">
        <w:rPr>
          <w:rFonts w:ascii="Times New Roman" w:eastAsia="Aptos" w:hAnsi="Times New Roman" w:cs="Times New Roman"/>
        </w:rPr>
        <w:t>.</w:t>
      </w:r>
    </w:p>
    <w:p w14:paraId="2400B837" w14:textId="308FE9F8" w:rsidR="00B278A3" w:rsidRPr="00A86D2A" w:rsidRDefault="001A21E2" w:rsidP="00ED16A8">
      <w:pPr>
        <w:numPr>
          <w:ilvl w:val="0"/>
          <w:numId w:val="26"/>
        </w:numPr>
        <w:spacing w:after="0" w:line="240" w:lineRule="auto"/>
        <w:ind w:left="0" w:firstLine="426"/>
        <w:rPr>
          <w:rFonts w:ascii="Times New Roman" w:eastAsia="Aptos" w:hAnsi="Times New Roman" w:cs="Times New Roman"/>
        </w:rPr>
      </w:pPr>
      <w:r w:rsidRPr="00A86D2A">
        <w:rPr>
          <w:rFonts w:ascii="Times New Roman" w:eastAsia="Aptos" w:hAnsi="Times New Roman" w:cs="Times New Roman"/>
        </w:rPr>
        <w:t>Проведення оцінки</w:t>
      </w:r>
      <w:r w:rsidR="00B278A3" w:rsidRPr="00A86D2A">
        <w:rPr>
          <w:rFonts w:ascii="Times New Roman" w:eastAsia="Aptos" w:hAnsi="Times New Roman" w:cs="Times New Roman"/>
        </w:rPr>
        <w:t xml:space="preserve"> ринку для </w:t>
      </w:r>
      <w:proofErr w:type="spellStart"/>
      <w:r w:rsidR="008D33CE" w:rsidRPr="00A86D2A">
        <w:rPr>
          <w:rFonts w:ascii="Times New Roman" w:eastAsia="Aptos" w:hAnsi="Times New Roman" w:cs="Times New Roman"/>
        </w:rPr>
        <w:t>зваження</w:t>
      </w:r>
      <w:proofErr w:type="spellEnd"/>
      <w:r w:rsidR="00B278A3" w:rsidRPr="00A86D2A">
        <w:rPr>
          <w:rFonts w:ascii="Times New Roman" w:eastAsia="Aptos" w:hAnsi="Times New Roman" w:cs="Times New Roman"/>
        </w:rPr>
        <w:t xml:space="preserve"> можливостей отримання доходу для </w:t>
      </w:r>
      <w:r w:rsidR="00D530BE" w:rsidRPr="00A86D2A">
        <w:rPr>
          <w:rFonts w:ascii="Times New Roman" w:eastAsia="Aptos" w:hAnsi="Times New Roman" w:cs="Times New Roman"/>
        </w:rPr>
        <w:t>Служби</w:t>
      </w:r>
      <w:r w:rsidR="00B278A3" w:rsidRPr="00A86D2A">
        <w:rPr>
          <w:rFonts w:ascii="Times New Roman" w:eastAsia="Aptos" w:hAnsi="Times New Roman" w:cs="Times New Roman"/>
        </w:rPr>
        <w:t xml:space="preserve">, включаючи аналіз того, скільки служба реально може </w:t>
      </w:r>
      <w:r w:rsidR="002574D3" w:rsidRPr="00A86D2A">
        <w:rPr>
          <w:rFonts w:ascii="Times New Roman" w:eastAsia="Aptos" w:hAnsi="Times New Roman" w:cs="Times New Roman"/>
        </w:rPr>
        <w:t>отримати</w:t>
      </w:r>
      <w:r w:rsidR="00B278A3" w:rsidRPr="00A86D2A">
        <w:rPr>
          <w:rFonts w:ascii="Times New Roman" w:eastAsia="Aptos" w:hAnsi="Times New Roman" w:cs="Times New Roman"/>
        </w:rPr>
        <w:t xml:space="preserve"> з ринку.</w:t>
      </w:r>
    </w:p>
    <w:p w14:paraId="15BEB292" w14:textId="1CBC2B1B" w:rsidR="00136F42" w:rsidRPr="00A86D2A" w:rsidRDefault="00CF14DA" w:rsidP="00ED16A8">
      <w:pPr>
        <w:numPr>
          <w:ilvl w:val="0"/>
          <w:numId w:val="26"/>
        </w:numPr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A86D2A">
        <w:rPr>
          <w:rFonts w:ascii="Times New Roman" w:eastAsia="Aptos" w:hAnsi="Times New Roman" w:cs="Times New Roman"/>
        </w:rPr>
        <w:t>Розробка</w:t>
      </w:r>
      <w:r w:rsidR="00B278A3" w:rsidRPr="00A86D2A">
        <w:rPr>
          <w:rFonts w:ascii="Times New Roman" w:eastAsia="Aptos" w:hAnsi="Times New Roman" w:cs="Times New Roman"/>
        </w:rPr>
        <w:t xml:space="preserve"> фінансових сценаріїв розвитку </w:t>
      </w:r>
      <w:r w:rsidRPr="00A86D2A">
        <w:rPr>
          <w:rFonts w:ascii="Times New Roman" w:eastAsia="Aptos" w:hAnsi="Times New Roman" w:cs="Times New Roman"/>
        </w:rPr>
        <w:t>Служби порятунку</w:t>
      </w:r>
      <w:r w:rsidR="00B278A3" w:rsidRPr="00A86D2A">
        <w:rPr>
          <w:rFonts w:ascii="Times New Roman" w:eastAsia="Aptos" w:hAnsi="Times New Roman" w:cs="Times New Roman"/>
        </w:rPr>
        <w:t xml:space="preserve"> та </w:t>
      </w:r>
      <w:r w:rsidR="00830008" w:rsidRPr="00A86D2A">
        <w:rPr>
          <w:rFonts w:ascii="Times New Roman" w:eastAsia="Aptos" w:hAnsi="Times New Roman" w:cs="Times New Roman"/>
        </w:rPr>
        <w:t>Служби реагування на НС</w:t>
      </w:r>
      <w:r w:rsidR="00B278A3" w:rsidRPr="00A86D2A">
        <w:rPr>
          <w:rFonts w:ascii="Times New Roman" w:eastAsia="Aptos" w:hAnsi="Times New Roman" w:cs="Times New Roman"/>
        </w:rPr>
        <w:t xml:space="preserve"> та </w:t>
      </w:r>
      <w:r w:rsidR="002D6334" w:rsidRPr="00A86D2A">
        <w:rPr>
          <w:rFonts w:ascii="Times New Roman" w:eastAsia="Aptos" w:hAnsi="Times New Roman" w:cs="Times New Roman"/>
        </w:rPr>
        <w:t>оцінка</w:t>
      </w:r>
      <w:r w:rsidR="00B278A3" w:rsidRPr="00A86D2A">
        <w:rPr>
          <w:rFonts w:ascii="Times New Roman" w:eastAsia="Aptos" w:hAnsi="Times New Roman" w:cs="Times New Roman"/>
        </w:rPr>
        <w:t xml:space="preserve"> довгостроков</w:t>
      </w:r>
      <w:r w:rsidR="002D6334" w:rsidRPr="00A86D2A">
        <w:rPr>
          <w:rFonts w:ascii="Times New Roman" w:eastAsia="Aptos" w:hAnsi="Times New Roman" w:cs="Times New Roman"/>
        </w:rPr>
        <w:t>ої</w:t>
      </w:r>
      <w:r w:rsidR="00B278A3" w:rsidRPr="00A86D2A">
        <w:rPr>
          <w:rFonts w:ascii="Times New Roman" w:eastAsia="Aptos" w:hAnsi="Times New Roman" w:cs="Times New Roman"/>
        </w:rPr>
        <w:t xml:space="preserve"> фінансов</w:t>
      </w:r>
      <w:r w:rsidR="002D6334" w:rsidRPr="00A86D2A">
        <w:rPr>
          <w:rFonts w:ascii="Times New Roman" w:eastAsia="Aptos" w:hAnsi="Times New Roman" w:cs="Times New Roman"/>
        </w:rPr>
        <w:t>ої</w:t>
      </w:r>
      <w:r w:rsidR="00B278A3" w:rsidRPr="00A86D2A">
        <w:rPr>
          <w:rFonts w:ascii="Times New Roman" w:eastAsia="Aptos" w:hAnsi="Times New Roman" w:cs="Times New Roman"/>
        </w:rPr>
        <w:t xml:space="preserve"> стійк</w:t>
      </w:r>
      <w:r w:rsidR="002D6334" w:rsidRPr="00A86D2A">
        <w:rPr>
          <w:rFonts w:ascii="Times New Roman" w:eastAsia="Aptos" w:hAnsi="Times New Roman" w:cs="Times New Roman"/>
        </w:rPr>
        <w:t>о</w:t>
      </w:r>
      <w:r w:rsidR="00B278A3" w:rsidRPr="00A86D2A">
        <w:rPr>
          <w:rFonts w:ascii="Times New Roman" w:eastAsia="Aptos" w:hAnsi="Times New Roman" w:cs="Times New Roman"/>
        </w:rPr>
        <w:t>ст</w:t>
      </w:r>
      <w:r w:rsidR="002D6334" w:rsidRPr="00A86D2A">
        <w:rPr>
          <w:rFonts w:ascii="Times New Roman" w:eastAsia="Aptos" w:hAnsi="Times New Roman" w:cs="Times New Roman"/>
        </w:rPr>
        <w:t>і</w:t>
      </w:r>
      <w:r w:rsidR="00B278A3" w:rsidRPr="00A86D2A">
        <w:rPr>
          <w:rFonts w:ascii="Times New Roman" w:eastAsia="Aptos" w:hAnsi="Times New Roman" w:cs="Times New Roman"/>
        </w:rPr>
        <w:t xml:space="preserve"> кожного сценарію.</w:t>
      </w:r>
      <w:r w:rsidR="00D84EDB" w:rsidRPr="00A86D2A">
        <w:rPr>
          <w:rFonts w:ascii="Times New Roman" w:hAnsi="Times New Roman" w:cs="Times New Roman"/>
        </w:rPr>
        <w:br/>
      </w:r>
    </w:p>
    <w:p w14:paraId="1C73767A" w14:textId="4C210570" w:rsidR="005A1E7E" w:rsidRPr="009B33BE" w:rsidRDefault="008315E8" w:rsidP="009B33BE">
      <w:pPr>
        <w:pStyle w:val="ae"/>
        <w:widowControl w:val="0"/>
        <w:numPr>
          <w:ilvl w:val="1"/>
          <w:numId w:val="18"/>
        </w:numPr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977AC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Методологія</w:t>
      </w:r>
      <w:r w:rsidR="00136F42" w:rsidRPr="00A86D2A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B1397D" w:rsidRPr="00A86D2A">
        <w:rPr>
          <w:rFonts w:ascii="Times New Roman" w:hAnsi="Times New Roman" w:cs="Times New Roman"/>
        </w:rPr>
        <w:br/>
      </w:r>
      <w:r w:rsidR="00FC324F" w:rsidRPr="00A86D2A">
        <w:rPr>
          <w:rFonts w:ascii="Times New Roman" w:hAnsi="Times New Roman" w:cs="Times New Roman"/>
          <w:b/>
          <w:bCs/>
        </w:rPr>
        <w:t xml:space="preserve">1. </w:t>
      </w:r>
      <w:r w:rsidR="003F1445" w:rsidRPr="00A86D2A">
        <w:rPr>
          <w:rFonts w:ascii="Times New Roman" w:hAnsi="Times New Roman" w:cs="Times New Roman"/>
          <w:b/>
          <w:bCs/>
        </w:rPr>
        <w:t>Огляд діяльності Служби реагування на НС</w:t>
      </w:r>
      <w:r w:rsidR="00B1397D" w:rsidRPr="00A86D2A">
        <w:rPr>
          <w:rFonts w:ascii="Times New Roman" w:hAnsi="Times New Roman" w:cs="Times New Roman"/>
        </w:rPr>
        <w:t xml:space="preserve"> </w:t>
      </w:r>
    </w:p>
    <w:p w14:paraId="73456F44" w14:textId="0F079A74" w:rsidR="008D14FF" w:rsidRPr="008D14FF" w:rsidRDefault="008D14FF" w:rsidP="008D14FF">
      <w:pPr>
        <w:pStyle w:val="1"/>
        <w:keepNext w:val="0"/>
        <w:keepLines w:val="0"/>
        <w:widowControl w:val="0"/>
        <w:numPr>
          <w:ilvl w:val="0"/>
          <w:numId w:val="20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Перегляд моделі фінансування для оцінки майбутньої стійкості.</w:t>
      </w:r>
    </w:p>
    <w:p w14:paraId="74EB7172" w14:textId="20CB1F8C" w:rsidR="002D2975" w:rsidRPr="00A86D2A" w:rsidRDefault="002D2975" w:rsidP="00ED16A8">
      <w:pPr>
        <w:pStyle w:val="1"/>
        <w:keepNext w:val="0"/>
        <w:keepLines w:val="0"/>
        <w:widowControl w:val="0"/>
        <w:numPr>
          <w:ilvl w:val="0"/>
          <w:numId w:val="20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Перегляд операційної діяльності </w:t>
      </w:r>
      <w:r w:rsidR="00713DC9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Служби реагування на НС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та можливостей для отримання фінансування.</w:t>
      </w:r>
    </w:p>
    <w:p w14:paraId="076C0D6A" w14:textId="3B015669" w:rsidR="002D2975" w:rsidRPr="00A86D2A" w:rsidRDefault="002D2975" w:rsidP="00ED16A8">
      <w:pPr>
        <w:pStyle w:val="1"/>
        <w:keepNext w:val="0"/>
        <w:keepLines w:val="0"/>
        <w:widowControl w:val="0"/>
        <w:numPr>
          <w:ilvl w:val="0"/>
          <w:numId w:val="20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Перегляд структури служби та моделі волонтерства.</w:t>
      </w:r>
    </w:p>
    <w:p w14:paraId="574B5DAB" w14:textId="2C2948A3" w:rsidR="002D2975" w:rsidRPr="00A86D2A" w:rsidRDefault="002D2975" w:rsidP="00ED16A8">
      <w:pPr>
        <w:pStyle w:val="1"/>
        <w:keepNext w:val="0"/>
        <w:keepLines w:val="0"/>
        <w:widowControl w:val="0"/>
        <w:numPr>
          <w:ilvl w:val="0"/>
          <w:numId w:val="20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Огляд ключових документів та даних для оцінки ефективності служби.</w:t>
      </w:r>
    </w:p>
    <w:p w14:paraId="015551E0" w14:textId="0BC128CC" w:rsidR="002D2975" w:rsidRPr="00A86D2A" w:rsidRDefault="002D2975" w:rsidP="00ED16A8">
      <w:pPr>
        <w:pStyle w:val="1"/>
        <w:keepNext w:val="0"/>
        <w:keepLines w:val="0"/>
        <w:widowControl w:val="0"/>
        <w:numPr>
          <w:ilvl w:val="0"/>
          <w:numId w:val="20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Інтерв'ю з ключовими інформаторами: персонал </w:t>
      </w:r>
      <w:r w:rsidR="00EE6F49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Служби реагування на НС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, волонтерами, урядовими партнерами (наприклад, </w:t>
      </w:r>
      <w:r w:rsidR="00AB1E16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ДСНС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) та донорами.</w:t>
      </w:r>
    </w:p>
    <w:p w14:paraId="4132AF4E" w14:textId="72A0C785" w:rsidR="002D2975" w:rsidRPr="00A86D2A" w:rsidRDefault="002D2975" w:rsidP="00ED16A8">
      <w:pPr>
        <w:pStyle w:val="1"/>
        <w:keepNext w:val="0"/>
        <w:keepLines w:val="0"/>
        <w:widowControl w:val="0"/>
        <w:numPr>
          <w:ilvl w:val="0"/>
          <w:numId w:val="20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Польові спостереження та/або моніторинг діяльності </w:t>
      </w:r>
      <w:r w:rsidR="00AB1E16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Служби реагування на НС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04B6C916" w14:textId="77777777" w:rsidR="002D2975" w:rsidRPr="00A86D2A" w:rsidRDefault="002D2975" w:rsidP="00ED16A8">
      <w:pPr>
        <w:pStyle w:val="1"/>
        <w:keepNext w:val="0"/>
        <w:keepLines w:val="0"/>
        <w:widowControl w:val="0"/>
        <w:numPr>
          <w:ilvl w:val="0"/>
          <w:numId w:val="20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Порівняльний аналіз з іншими національними товариствами, які надають аналогічні послуги.</w:t>
      </w:r>
    </w:p>
    <w:p w14:paraId="6BED8684" w14:textId="77777777" w:rsidR="00B1397D" w:rsidRPr="00A86D2A" w:rsidRDefault="00B1397D" w:rsidP="00ED16A8">
      <w:pPr>
        <w:pStyle w:val="1"/>
        <w:spacing w:before="0" w:line="240" w:lineRule="auto"/>
        <w:ind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14:paraId="66B71896" w14:textId="671D9799" w:rsidR="004055E9" w:rsidRPr="00BA5FA8" w:rsidRDefault="006B52F7" w:rsidP="009B33BE">
      <w:pPr>
        <w:pStyle w:val="1"/>
        <w:keepNext w:val="0"/>
        <w:keepLines w:val="0"/>
        <w:widowControl w:val="0"/>
        <w:numPr>
          <w:ilvl w:val="1"/>
          <w:numId w:val="20"/>
        </w:numPr>
        <w:spacing w:before="0" w:after="240" w:line="240" w:lineRule="auto"/>
        <w:ind w:left="0" w:firstLine="142"/>
        <w:rPr>
          <w:rFonts w:ascii="Times New Roman" w:hAnsi="Times New Roman" w:cs="Times New Roman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color w:val="auto"/>
          <w:sz w:val="22"/>
          <w:szCs w:val="22"/>
        </w:rPr>
        <w:t xml:space="preserve">Огляд Служби </w:t>
      </w:r>
      <w:r w:rsidR="004055E9" w:rsidRPr="00A86D2A">
        <w:rPr>
          <w:rFonts w:ascii="Times New Roman" w:hAnsi="Times New Roman" w:cs="Times New Roman"/>
          <w:color w:val="auto"/>
          <w:sz w:val="22"/>
          <w:szCs w:val="22"/>
        </w:rPr>
        <w:t>реагування на НС</w:t>
      </w:r>
    </w:p>
    <w:p w14:paraId="408C4507" w14:textId="1C9D2C7C" w:rsidR="00D529B5" w:rsidRPr="00A86D2A" w:rsidRDefault="00D529B5" w:rsidP="00ED16A8">
      <w:pPr>
        <w:pStyle w:val="1"/>
        <w:keepNext w:val="0"/>
        <w:keepLines w:val="0"/>
        <w:widowControl w:val="0"/>
        <w:numPr>
          <w:ilvl w:val="0"/>
          <w:numId w:val="22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Перегля</w:t>
      </w:r>
      <w:r w:rsidR="00666C78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д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концептуальн</w:t>
      </w:r>
      <w:r w:rsidR="00666C78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ої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записк</w:t>
      </w:r>
      <w:r w:rsidR="00666C78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и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для </w:t>
      </w:r>
      <w:r w:rsidR="00994055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Служби порятунку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та бюджетну пропозицію на основі стандартів </w:t>
      </w:r>
      <w:r w:rsidR="00524B1E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ДСНС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6040EB2B" w14:textId="1F8C98BC" w:rsidR="00D529B5" w:rsidRPr="00A86D2A" w:rsidRDefault="00D529B5" w:rsidP="00ED16A8">
      <w:pPr>
        <w:pStyle w:val="1"/>
        <w:keepNext w:val="0"/>
        <w:keepLines w:val="0"/>
        <w:widowControl w:val="0"/>
        <w:numPr>
          <w:ilvl w:val="0"/>
          <w:numId w:val="22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Перегля</w:t>
      </w:r>
      <w:r w:rsidR="00666C78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д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існуюч</w:t>
      </w:r>
      <w:r w:rsidR="00666C78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ої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документаці</w:t>
      </w:r>
      <w:r w:rsidR="00666C78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ї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 пов'язан</w:t>
      </w:r>
      <w:r w:rsidR="00666C78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ої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з</w:t>
      </w:r>
      <w:r w:rsidR="008F7F74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і Службою реагування на НС 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та діяльністю, що генерує дохід.</w:t>
      </w:r>
    </w:p>
    <w:p w14:paraId="358AB15B" w14:textId="2162B91F" w:rsidR="00D529B5" w:rsidRPr="00A86D2A" w:rsidRDefault="00D529B5" w:rsidP="00ED16A8">
      <w:pPr>
        <w:pStyle w:val="1"/>
        <w:keepNext w:val="0"/>
        <w:keepLines w:val="0"/>
        <w:widowControl w:val="0"/>
        <w:numPr>
          <w:ilvl w:val="0"/>
          <w:numId w:val="22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Прове</w:t>
      </w:r>
      <w:r w:rsidR="004A492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дення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консультації з ключовими зацікавленими сторонами (</w:t>
      </w:r>
      <w:r w:rsidR="00524B1E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ТЧХУ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, </w:t>
      </w:r>
      <w:r w:rsidR="00524B1E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ДСНС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085535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Службою реагування на НС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тощо) та розроб</w:t>
      </w:r>
      <w:r w:rsidR="004A492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ка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:</w:t>
      </w:r>
    </w:p>
    <w:p w14:paraId="24C2B6A5" w14:textId="28762277" w:rsidR="00D529B5" w:rsidRPr="00A86D2A" w:rsidRDefault="00D529B5" w:rsidP="00B55511">
      <w:pPr>
        <w:pStyle w:val="1"/>
        <w:spacing w:before="0" w:line="240" w:lineRule="auto"/>
        <w:ind w:left="426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1) фінансов</w:t>
      </w:r>
      <w:r w:rsidR="004A492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ого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аналіз</w:t>
      </w:r>
      <w:r w:rsidR="004A492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у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початкової розробки та майбутніх поточних витрат на обслуговування</w:t>
      </w:r>
      <w:r w:rsidR="00B555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;</w:t>
      </w:r>
    </w:p>
    <w:p w14:paraId="5CE58F76" w14:textId="5C3DB264" w:rsidR="00D529B5" w:rsidRPr="00A86D2A" w:rsidRDefault="00D529B5" w:rsidP="009B33BE">
      <w:pPr>
        <w:pStyle w:val="1"/>
        <w:spacing w:before="0" w:line="240" w:lineRule="auto"/>
        <w:ind w:left="851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2) оцінк</w:t>
      </w:r>
      <w:r w:rsidR="004A492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и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ринку </w:t>
      </w:r>
      <w:r w:rsidR="00C319D7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щодо 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діяльності, </w:t>
      </w:r>
      <w:r w:rsidR="00431E55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яка спрямована на отримання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дох</w:t>
      </w:r>
      <w:r w:rsidR="00431E55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о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д</w:t>
      </w:r>
      <w:r w:rsidR="00431E55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у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 та можливості задоволення попиту</w:t>
      </w:r>
      <w:r w:rsidR="00B555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;</w:t>
      </w:r>
    </w:p>
    <w:p w14:paraId="6DBD928F" w14:textId="45F197C5" w:rsidR="00D529B5" w:rsidRPr="00A86D2A" w:rsidRDefault="00D529B5" w:rsidP="009B33BE">
      <w:pPr>
        <w:pStyle w:val="1"/>
        <w:spacing w:before="0" w:line="240" w:lineRule="auto"/>
        <w:ind w:left="851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3) розробк</w:t>
      </w:r>
      <w:r w:rsidR="00B555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а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сценаріїв для майбутньої організаційної структури </w:t>
      </w:r>
      <w:r w:rsidR="00194CA3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Служби реагування</w:t>
      </w:r>
      <w:r w:rsidR="00B555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;</w:t>
      </w:r>
    </w:p>
    <w:p w14:paraId="1ADE77B8" w14:textId="165E0450" w:rsidR="00D529B5" w:rsidRPr="00A86D2A" w:rsidRDefault="00D529B5" w:rsidP="00B55511">
      <w:pPr>
        <w:pStyle w:val="1"/>
        <w:spacing w:before="0" w:line="240" w:lineRule="auto"/>
        <w:ind w:left="426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4) оцінк</w:t>
      </w:r>
      <w:r w:rsidR="00B555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и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фінансової стійкості для різних сценаріїв з урахуванням зовнішніх джерел фінансування</w:t>
      </w:r>
      <w:r w:rsidR="00B555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58FBCBD8" w14:textId="7C41365B" w:rsidR="00B55511" w:rsidRDefault="00D529B5" w:rsidP="00B55511">
      <w:pPr>
        <w:pStyle w:val="1"/>
        <w:numPr>
          <w:ilvl w:val="0"/>
          <w:numId w:val="22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Нада</w:t>
      </w:r>
      <w:r w:rsidR="00B555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ння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рекомендаці</w:t>
      </w:r>
      <w:r w:rsidR="00B5551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й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щодо оптимального розвитку, фінансової стійкості та операційної координації</w:t>
      </w:r>
      <w:r w:rsidR="004055E9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66B9B111" w14:textId="77777777" w:rsidR="009B33BE" w:rsidRPr="009B33BE" w:rsidRDefault="009B33BE" w:rsidP="009B33BE">
      <w:pPr>
        <w:spacing w:after="0"/>
      </w:pPr>
    </w:p>
    <w:p w14:paraId="02A0CE81" w14:textId="2EAD4ED4" w:rsidR="00A26A79" w:rsidRPr="00A86D2A" w:rsidRDefault="000B1866" w:rsidP="00ED16A8">
      <w:pPr>
        <w:pStyle w:val="ae"/>
        <w:numPr>
          <w:ilvl w:val="1"/>
          <w:numId w:val="21"/>
        </w:numPr>
        <w:spacing w:after="0" w:line="240" w:lineRule="auto"/>
        <w:ind w:left="0" w:firstLine="426"/>
        <w:rPr>
          <w:rFonts w:ascii="Times New Roman" w:eastAsiaTheme="majorEastAsia" w:hAnsi="Times New Roman" w:cs="Times New Roman"/>
          <w:b/>
          <w:bCs/>
        </w:rPr>
      </w:pPr>
      <w:r w:rsidRPr="00A86D2A">
        <w:rPr>
          <w:rFonts w:ascii="Times New Roman" w:eastAsiaTheme="majorEastAsia" w:hAnsi="Times New Roman" w:cs="Times New Roman"/>
          <w:b/>
          <w:bCs/>
        </w:rPr>
        <w:t>Воркшоп</w:t>
      </w:r>
    </w:p>
    <w:p w14:paraId="086E2DEF" w14:textId="1797476A" w:rsidR="00B1397D" w:rsidRPr="00A86D2A" w:rsidRDefault="00AB0570" w:rsidP="00ED16A8">
      <w:pPr>
        <w:pStyle w:val="ae"/>
        <w:numPr>
          <w:ilvl w:val="0"/>
          <w:numId w:val="25"/>
        </w:numPr>
        <w:spacing w:after="0" w:line="240" w:lineRule="auto"/>
        <w:ind w:left="0" w:firstLine="426"/>
        <w:rPr>
          <w:rFonts w:ascii="Times New Roman" w:eastAsiaTheme="majorEastAsia" w:hAnsi="Times New Roman" w:cs="Times New Roman"/>
          <w:b/>
          <w:bCs/>
        </w:rPr>
      </w:pPr>
      <w:r w:rsidRPr="00A86D2A">
        <w:rPr>
          <w:rFonts w:ascii="Times New Roman" w:hAnsi="Times New Roman" w:cs="Times New Roman"/>
        </w:rPr>
        <w:t xml:space="preserve">Воркшоп </w:t>
      </w:r>
      <w:r w:rsidR="0049297E" w:rsidRPr="00A86D2A">
        <w:rPr>
          <w:rFonts w:ascii="Times New Roman" w:hAnsi="Times New Roman" w:cs="Times New Roman"/>
        </w:rPr>
        <w:t xml:space="preserve">зі </w:t>
      </w:r>
      <w:proofErr w:type="spellStart"/>
      <w:r w:rsidR="0049297E" w:rsidRPr="00A86D2A">
        <w:rPr>
          <w:rFonts w:ascii="Times New Roman" w:hAnsi="Times New Roman" w:cs="Times New Roman"/>
        </w:rPr>
        <w:t>стейкхолдерами</w:t>
      </w:r>
      <w:proofErr w:type="spellEnd"/>
      <w:r w:rsidR="0049297E" w:rsidRPr="00A86D2A">
        <w:rPr>
          <w:rFonts w:ascii="Times New Roman" w:hAnsi="Times New Roman" w:cs="Times New Roman"/>
        </w:rPr>
        <w:t xml:space="preserve"> для </w:t>
      </w:r>
      <w:r w:rsidR="006B52F7" w:rsidRPr="00A86D2A">
        <w:rPr>
          <w:rFonts w:ascii="Times New Roman" w:hAnsi="Times New Roman" w:cs="Times New Roman"/>
        </w:rPr>
        <w:t>підтвердження</w:t>
      </w:r>
      <w:r w:rsidR="0049297E" w:rsidRPr="00A86D2A">
        <w:rPr>
          <w:rFonts w:ascii="Times New Roman" w:hAnsi="Times New Roman" w:cs="Times New Roman"/>
        </w:rPr>
        <w:t xml:space="preserve"> попередніх результатів</w:t>
      </w:r>
      <w:r w:rsidR="00A26A79" w:rsidRPr="00A86D2A">
        <w:rPr>
          <w:rFonts w:ascii="Times New Roman" w:hAnsi="Times New Roman" w:cs="Times New Roman"/>
        </w:rPr>
        <w:t>.</w:t>
      </w:r>
    </w:p>
    <w:p w14:paraId="05E4E638" w14:textId="6B64D0C7" w:rsidR="00B1397D" w:rsidRPr="00B55511" w:rsidRDefault="00B1397D" w:rsidP="00ED16A8">
      <w:pPr>
        <w:pStyle w:val="1"/>
        <w:spacing w:before="0" w:line="240" w:lineRule="auto"/>
        <w:ind w:firstLine="426"/>
        <w:rPr>
          <w:rFonts w:ascii="Times New Roman" w:hAnsi="Times New Roman" w:cs="Times New Roman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br/>
      </w:r>
      <w:r w:rsidRPr="00B55511">
        <w:rPr>
          <w:rFonts w:ascii="Times New Roman" w:hAnsi="Times New Roman" w:cs="Times New Roman"/>
          <w:color w:val="FF0000"/>
          <w:sz w:val="24"/>
          <w:szCs w:val="24"/>
        </w:rPr>
        <w:t xml:space="preserve">5. </w:t>
      </w:r>
      <w:r w:rsidR="003F1445" w:rsidRPr="00B55511">
        <w:rPr>
          <w:rFonts w:ascii="Times New Roman" w:hAnsi="Times New Roman" w:cs="Times New Roman"/>
          <w:color w:val="FF0000"/>
          <w:sz w:val="24"/>
          <w:szCs w:val="24"/>
        </w:rPr>
        <w:t>Результати</w:t>
      </w:r>
      <w:r w:rsidRPr="00B55511">
        <w:rPr>
          <w:rFonts w:ascii="Times New Roman" w:hAnsi="Times New Roman" w:cs="Times New Roman"/>
          <w:color w:val="auto"/>
          <w:sz w:val="22"/>
          <w:szCs w:val="22"/>
        </w:rPr>
        <w:br/>
      </w:r>
    </w:p>
    <w:p w14:paraId="1EE62022" w14:textId="0326DBC9" w:rsidR="00E977FA" w:rsidRPr="00A86D2A" w:rsidRDefault="00E977FA" w:rsidP="00ED16A8">
      <w:pPr>
        <w:pStyle w:val="1"/>
        <w:numPr>
          <w:ilvl w:val="0"/>
          <w:numId w:val="15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Пропозиція, що окреслює методологію, робочий план та підхід до залучення зацікавлених сторін.</w:t>
      </w:r>
    </w:p>
    <w:p w14:paraId="210E07E9" w14:textId="545B79B2" w:rsidR="00E977FA" w:rsidRPr="00A86D2A" w:rsidRDefault="00E977FA" w:rsidP="00ED16A8">
      <w:pPr>
        <w:pStyle w:val="1"/>
        <w:numPr>
          <w:ilvl w:val="0"/>
          <w:numId w:val="15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Звіт про проміжні результати для коментарів.</w:t>
      </w:r>
    </w:p>
    <w:p w14:paraId="14C6DE86" w14:textId="0B67A427" w:rsidR="00E977FA" w:rsidRPr="00A86D2A" w:rsidRDefault="00E977FA" w:rsidP="00ED16A8">
      <w:pPr>
        <w:pStyle w:val="1"/>
        <w:numPr>
          <w:ilvl w:val="0"/>
          <w:numId w:val="15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Звіт з ключовими висновками, рекомендаціями, варіантами інтеграції </w:t>
      </w:r>
      <w:r w:rsidR="007A352B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Служби </w:t>
      </w:r>
      <w:r w:rsidR="004055E9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реагування та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дорожньою картою впровадження.</w:t>
      </w:r>
    </w:p>
    <w:p w14:paraId="3EA18725" w14:textId="03096D18" w:rsidR="00B1397D" w:rsidRPr="00A86D2A" w:rsidRDefault="00E977FA" w:rsidP="00ED16A8">
      <w:pPr>
        <w:pStyle w:val="1"/>
        <w:numPr>
          <w:ilvl w:val="0"/>
          <w:numId w:val="15"/>
        </w:numPr>
        <w:tabs>
          <w:tab w:val="num" w:pos="851"/>
        </w:tabs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Презентація висновків керівництву </w:t>
      </w:r>
      <w:r w:rsidR="0040600D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ТЧХУ</w:t>
      </w: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та зацікавленим сторонам.</w:t>
      </w:r>
      <w:r w:rsidR="00136F42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br/>
      </w:r>
      <w:r w:rsidR="00B1397D"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br/>
      </w:r>
      <w:r w:rsidR="00B1397D" w:rsidRPr="009C76AB">
        <w:rPr>
          <w:rFonts w:ascii="Times New Roman" w:hAnsi="Times New Roman" w:cs="Times New Roman"/>
          <w:color w:val="FF0000"/>
          <w:sz w:val="24"/>
          <w:szCs w:val="24"/>
        </w:rPr>
        <w:t xml:space="preserve">6. </w:t>
      </w:r>
      <w:r w:rsidR="005B7C03" w:rsidRPr="009C76AB">
        <w:rPr>
          <w:rFonts w:ascii="Times New Roman" w:hAnsi="Times New Roman" w:cs="Times New Roman"/>
          <w:color w:val="FF0000"/>
          <w:sz w:val="24"/>
          <w:szCs w:val="24"/>
        </w:rPr>
        <w:t>Терміни</w:t>
      </w:r>
      <w:r w:rsidR="00B1397D" w:rsidRPr="00A86D2A">
        <w:rPr>
          <w:rFonts w:ascii="Times New Roman" w:hAnsi="Times New Roman" w:cs="Times New Roman"/>
          <w:b w:val="0"/>
          <w:bCs w:val="0"/>
          <w:color w:val="FF0000"/>
          <w:sz w:val="22"/>
          <w:szCs w:val="22"/>
        </w:rPr>
        <w:br/>
      </w:r>
    </w:p>
    <w:p w14:paraId="0D1E1645" w14:textId="4164A25F" w:rsidR="00880C0F" w:rsidRDefault="00EA6D2A" w:rsidP="00ED16A8">
      <w:pPr>
        <w:numPr>
          <w:ilvl w:val="0"/>
          <w:numId w:val="29"/>
        </w:numPr>
        <w:spacing w:after="0" w:line="278" w:lineRule="auto"/>
        <w:ind w:left="0" w:firstLine="426"/>
        <w:rPr>
          <w:rFonts w:ascii="Times New Roman" w:hAnsi="Times New Roman" w:cs="Times New Roman"/>
        </w:rPr>
      </w:pPr>
      <w:r w:rsidRPr="00A86D2A">
        <w:rPr>
          <w:rFonts w:ascii="Times New Roman" w:hAnsi="Times New Roman" w:cs="Times New Roman"/>
        </w:rPr>
        <w:t>Завдання слід виконувати протягом 10–12 тижнів. Конкретні етапи та терміни будуть узгоджені під час початкового етапу</w:t>
      </w:r>
      <w:r w:rsidR="00880C0F" w:rsidRPr="00A86D2A">
        <w:rPr>
          <w:rFonts w:ascii="Times New Roman" w:hAnsi="Times New Roman" w:cs="Times New Roman"/>
        </w:rPr>
        <w:t xml:space="preserve"> на основі пропозиції </w:t>
      </w:r>
      <w:r w:rsidR="009C76AB">
        <w:rPr>
          <w:rFonts w:ascii="Times New Roman" w:hAnsi="Times New Roman" w:cs="Times New Roman"/>
        </w:rPr>
        <w:t>П</w:t>
      </w:r>
      <w:r w:rsidR="00880C0F" w:rsidRPr="00A86D2A">
        <w:rPr>
          <w:rFonts w:ascii="Times New Roman" w:hAnsi="Times New Roman" w:cs="Times New Roman"/>
        </w:rPr>
        <w:t xml:space="preserve">остачальника. </w:t>
      </w:r>
    </w:p>
    <w:p w14:paraId="76251F9F" w14:textId="77777777" w:rsidR="009B33BE" w:rsidRPr="00A86D2A" w:rsidRDefault="009B33BE" w:rsidP="009B33BE">
      <w:pPr>
        <w:spacing w:after="0" w:line="278" w:lineRule="auto"/>
        <w:ind w:left="426"/>
        <w:rPr>
          <w:rFonts w:ascii="Times New Roman" w:hAnsi="Times New Roman" w:cs="Times New Roman"/>
        </w:rPr>
      </w:pPr>
    </w:p>
    <w:p w14:paraId="3E7F27D9" w14:textId="7CCAC6A5" w:rsidR="00B1397D" w:rsidRPr="009C76AB" w:rsidRDefault="00B1397D" w:rsidP="00ED16A8">
      <w:pPr>
        <w:spacing w:after="0" w:line="278" w:lineRule="auto"/>
        <w:ind w:firstLine="426"/>
        <w:rPr>
          <w:rFonts w:ascii="Times New Roman" w:hAnsi="Times New Roman" w:cs="Times New Roman"/>
          <w:b/>
          <w:bCs/>
        </w:rPr>
      </w:pPr>
      <w:r w:rsidRPr="009C76A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7. </w:t>
      </w:r>
      <w:r w:rsidR="00C238B5" w:rsidRPr="009C76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Необхідна </w:t>
      </w:r>
      <w:proofErr w:type="spellStart"/>
      <w:r w:rsidR="00C238B5" w:rsidRPr="009C76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експертність</w:t>
      </w:r>
      <w:proofErr w:type="spellEnd"/>
      <w:r w:rsidRPr="009C76AB">
        <w:rPr>
          <w:rFonts w:ascii="Times New Roman" w:hAnsi="Times New Roman" w:cs="Times New Roman"/>
          <w:b/>
          <w:bCs/>
          <w:color w:val="1F497D" w:themeColor="text2"/>
        </w:rPr>
        <w:br/>
      </w:r>
    </w:p>
    <w:p w14:paraId="0C39E24B" w14:textId="7826840A" w:rsidR="004466D5" w:rsidRPr="00E47A55" w:rsidRDefault="00C54B86" w:rsidP="00ED16A8">
      <w:pPr>
        <w:pStyle w:val="1"/>
        <w:keepNext w:val="0"/>
        <w:keepLines w:val="0"/>
        <w:widowControl w:val="0"/>
        <w:numPr>
          <w:ilvl w:val="0"/>
          <w:numId w:val="30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47A5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Досвід роботи з організаціями, які здійснюють цивільний захист та реагують на гуманітарні кризи</w:t>
      </w:r>
    </w:p>
    <w:p w14:paraId="71A22594" w14:textId="401302FD" w:rsidR="004466D5" w:rsidRPr="00E47A55" w:rsidRDefault="004466D5" w:rsidP="00ED16A8">
      <w:pPr>
        <w:pStyle w:val="1"/>
        <w:keepNext w:val="0"/>
        <w:keepLines w:val="0"/>
        <w:widowControl w:val="0"/>
        <w:numPr>
          <w:ilvl w:val="0"/>
          <w:numId w:val="30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47A5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Знання операційних моделей, що базуються на </w:t>
      </w:r>
      <w:proofErr w:type="spellStart"/>
      <w:r w:rsidRPr="00E47A5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волонтерстві</w:t>
      </w:r>
      <w:proofErr w:type="spellEnd"/>
      <w:r w:rsidRPr="00E47A5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47B4FD8B" w14:textId="16DD71A8" w:rsidR="004466D5" w:rsidRPr="00E47A55" w:rsidRDefault="004466D5" w:rsidP="00ED16A8">
      <w:pPr>
        <w:pStyle w:val="1"/>
        <w:keepNext w:val="0"/>
        <w:keepLines w:val="0"/>
        <w:widowControl w:val="0"/>
        <w:numPr>
          <w:ilvl w:val="0"/>
          <w:numId w:val="30"/>
        </w:numPr>
        <w:spacing w:before="0" w:line="240" w:lineRule="auto"/>
        <w:ind w:left="0" w:firstLine="426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47A5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Досвід роботи з Національними товариствами Червоного Хреста та Червоного Півмісяця або аналогічними гуманітарними організаціями.</w:t>
      </w:r>
    </w:p>
    <w:p w14:paraId="4A14B123" w14:textId="1F5CEF6C" w:rsidR="00230829" w:rsidRPr="009C76AB" w:rsidRDefault="00B1397D" w:rsidP="00ED16A8">
      <w:pPr>
        <w:pStyle w:val="1"/>
        <w:spacing w:before="0" w:line="240" w:lineRule="auto"/>
        <w:ind w:firstLine="426"/>
        <w:rPr>
          <w:rFonts w:ascii="Times New Roman" w:hAnsi="Times New Roman" w:cs="Times New Roman"/>
          <w:color w:val="auto"/>
          <w:sz w:val="22"/>
          <w:szCs w:val="22"/>
        </w:rPr>
      </w:pPr>
      <w:r w:rsidRPr="00A86D2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br/>
      </w:r>
      <w:r w:rsidRPr="009C76AB">
        <w:rPr>
          <w:rFonts w:ascii="Times New Roman" w:hAnsi="Times New Roman" w:cs="Times New Roman"/>
          <w:color w:val="FF0000"/>
          <w:sz w:val="24"/>
          <w:szCs w:val="24"/>
        </w:rPr>
        <w:t xml:space="preserve">8. </w:t>
      </w:r>
      <w:r w:rsidR="00985FB3" w:rsidRPr="009C76AB">
        <w:rPr>
          <w:rFonts w:ascii="Times New Roman" w:hAnsi="Times New Roman" w:cs="Times New Roman"/>
          <w:color w:val="FF0000"/>
          <w:sz w:val="24"/>
          <w:szCs w:val="24"/>
        </w:rPr>
        <w:t>Звітність та управління</w:t>
      </w:r>
      <w:r w:rsidRPr="009C76AB">
        <w:rPr>
          <w:rFonts w:ascii="Times New Roman" w:hAnsi="Times New Roman" w:cs="Times New Roman"/>
          <w:color w:val="1F497D" w:themeColor="text2"/>
          <w:sz w:val="22"/>
          <w:szCs w:val="22"/>
        </w:rPr>
        <w:br/>
      </w:r>
    </w:p>
    <w:p w14:paraId="26331232" w14:textId="6965C463" w:rsidR="00B76DCB" w:rsidRPr="00C82819" w:rsidRDefault="00230829" w:rsidP="00E47A55">
      <w:pPr>
        <w:ind w:firstLine="426"/>
        <w:rPr>
          <w:rFonts w:ascii="Times New Roman" w:eastAsiaTheme="majorEastAsia" w:hAnsi="Times New Roman" w:cs="Times New Roman"/>
          <w:b/>
          <w:bCs/>
          <w:color w:val="FF0000"/>
          <w:sz w:val="24"/>
          <w:szCs w:val="24"/>
        </w:rPr>
      </w:pPr>
      <w:r w:rsidRPr="00A86D2A">
        <w:rPr>
          <w:rFonts w:ascii="Times New Roman" w:hAnsi="Times New Roman" w:cs="Times New Roman"/>
        </w:rPr>
        <w:t>Консульта</w:t>
      </w:r>
      <w:r w:rsidR="001710D6" w:rsidRPr="00A86D2A">
        <w:rPr>
          <w:rFonts w:ascii="Times New Roman" w:hAnsi="Times New Roman" w:cs="Times New Roman"/>
        </w:rPr>
        <w:t xml:space="preserve">нт </w:t>
      </w:r>
      <w:r w:rsidRPr="00A86D2A">
        <w:rPr>
          <w:rFonts w:ascii="Times New Roman" w:hAnsi="Times New Roman" w:cs="Times New Roman"/>
        </w:rPr>
        <w:t xml:space="preserve">звітуватиме перед керівником </w:t>
      </w:r>
      <w:r w:rsidR="00917E14" w:rsidRPr="00A86D2A">
        <w:rPr>
          <w:rFonts w:ascii="Times New Roman" w:hAnsi="Times New Roman" w:cs="Times New Roman"/>
        </w:rPr>
        <w:t>С</w:t>
      </w:r>
      <w:r w:rsidRPr="00A86D2A">
        <w:rPr>
          <w:rFonts w:ascii="Times New Roman" w:hAnsi="Times New Roman" w:cs="Times New Roman"/>
        </w:rPr>
        <w:t xml:space="preserve">лужби </w:t>
      </w:r>
      <w:r w:rsidR="00917E14" w:rsidRPr="00A86D2A">
        <w:rPr>
          <w:rFonts w:ascii="Times New Roman" w:hAnsi="Times New Roman" w:cs="Times New Roman"/>
        </w:rPr>
        <w:t>реагування на НС</w:t>
      </w:r>
      <w:r w:rsidRPr="00A86D2A">
        <w:rPr>
          <w:rFonts w:ascii="Times New Roman" w:hAnsi="Times New Roman" w:cs="Times New Roman"/>
        </w:rPr>
        <w:t xml:space="preserve"> і координуватиме свою діяльність з підрозділом </w:t>
      </w:r>
      <w:r w:rsidR="004055E9" w:rsidRPr="00A86D2A">
        <w:rPr>
          <w:rFonts w:ascii="Times New Roman" w:hAnsi="Times New Roman" w:cs="Times New Roman"/>
        </w:rPr>
        <w:t>Управління НС</w:t>
      </w:r>
      <w:r w:rsidRPr="00A86D2A">
        <w:rPr>
          <w:rFonts w:ascii="Times New Roman" w:hAnsi="Times New Roman" w:cs="Times New Roman"/>
        </w:rPr>
        <w:t>. Необхідні будуть регулярні перевірки для забезпечення відповідності очікуванням та цілям.</w:t>
      </w:r>
      <w:r w:rsidR="00136F42" w:rsidRPr="00A86D2A">
        <w:rPr>
          <w:rFonts w:ascii="Times New Roman" w:hAnsi="Times New Roman" w:cs="Times New Roman"/>
        </w:rPr>
        <w:br/>
      </w:r>
      <w:r w:rsidR="00B1397D" w:rsidRPr="00A86D2A">
        <w:rPr>
          <w:rFonts w:ascii="Times New Roman" w:hAnsi="Times New Roman" w:cs="Times New Roman"/>
        </w:rPr>
        <w:br/>
      </w:r>
      <w:r w:rsidR="00A26A79" w:rsidRPr="00555E41">
        <w:rPr>
          <w:rFonts w:ascii="Times New Roman" w:eastAsiaTheme="majorEastAsia" w:hAnsi="Times New Roman" w:cs="Times New Roman"/>
          <w:b/>
          <w:bCs/>
          <w:color w:val="FF0000"/>
          <w:sz w:val="24"/>
          <w:szCs w:val="24"/>
        </w:rPr>
        <w:t>9.</w:t>
      </w:r>
      <w:r w:rsidR="00E47A55">
        <w:rPr>
          <w:rFonts w:ascii="Times New Roman" w:eastAsiaTheme="majorEastAsia" w:hAnsi="Times New Roman" w:cs="Times New Roman"/>
          <w:b/>
          <w:bCs/>
          <w:color w:val="FF0000"/>
          <w:sz w:val="24"/>
          <w:szCs w:val="24"/>
        </w:rPr>
        <w:t xml:space="preserve"> </w:t>
      </w:r>
      <w:r w:rsidR="00B76DCB" w:rsidRPr="00C82819">
        <w:rPr>
          <w:rFonts w:ascii="Times New Roman" w:eastAsiaTheme="majorEastAsia" w:hAnsi="Times New Roman" w:cs="Times New Roman"/>
          <w:b/>
          <w:bCs/>
          <w:color w:val="FF0000"/>
          <w:sz w:val="24"/>
          <w:szCs w:val="24"/>
        </w:rPr>
        <w:t>Умови надання цінової пропозиції</w:t>
      </w:r>
    </w:p>
    <w:p w14:paraId="104DD006" w14:textId="2FEFDF4D" w:rsidR="00B76DCB" w:rsidRPr="00E47A55" w:rsidRDefault="00B76DCB" w:rsidP="00B76DCB">
      <w:pPr>
        <w:pStyle w:val="ae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47A55">
        <w:rPr>
          <w:rFonts w:ascii="Times New Roman" w:hAnsi="Times New Roman" w:cs="Times New Roman"/>
          <w:color w:val="000000" w:themeColor="text1"/>
        </w:rPr>
        <w:t>Вважається, що Учасник повністю розуміє обсяг надання послуг та гарантує, що вартість всіх необхідних основних, супутніх та допоміжних послуг та матеріалів повністю врахована у ціновій пропозиції.</w:t>
      </w:r>
    </w:p>
    <w:p w14:paraId="14323114" w14:textId="77777777" w:rsidR="00B76DCB" w:rsidRPr="00E47A55" w:rsidRDefault="00B76DCB" w:rsidP="00B76DCB">
      <w:pPr>
        <w:pStyle w:val="ae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47A55">
        <w:rPr>
          <w:rFonts w:ascii="Times New Roman" w:hAnsi="Times New Roman" w:cs="Times New Roman"/>
          <w:color w:val="000000" w:themeColor="text1"/>
        </w:rPr>
        <w:t>Ціна пропозиції включає всі податки, мита та інші обов’язкові платежі відповідно до законодавства України.</w:t>
      </w:r>
    </w:p>
    <w:p w14:paraId="649176E6" w14:textId="71B9264C" w:rsidR="00B76DCB" w:rsidRPr="00E47A55" w:rsidRDefault="00940D45" w:rsidP="00B76DCB">
      <w:pPr>
        <w:pStyle w:val="ae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47A55">
        <w:rPr>
          <w:rFonts w:ascii="Times New Roman" w:hAnsi="Times New Roman" w:cs="Times New Roman"/>
        </w:rPr>
        <w:t xml:space="preserve">Вартість кожного етапу робіт повинна враховувати всі супутні витрати Виконавця, включаючи, але не обмежуючись: </w:t>
      </w:r>
      <w:r w:rsidRPr="009B33BE">
        <w:rPr>
          <w:rFonts w:ascii="Times New Roman" w:hAnsi="Times New Roman" w:cs="Times New Roman"/>
          <w:b/>
          <w:bCs/>
        </w:rPr>
        <w:t>консультації, підготовку звітності,</w:t>
      </w:r>
      <w:r w:rsidRPr="00E47A55">
        <w:rPr>
          <w:rFonts w:ascii="Times New Roman" w:hAnsi="Times New Roman" w:cs="Times New Roman"/>
        </w:rPr>
        <w:t xml:space="preserve"> </w:t>
      </w:r>
      <w:r w:rsidRPr="009B33BE">
        <w:rPr>
          <w:rFonts w:ascii="Times New Roman" w:hAnsi="Times New Roman" w:cs="Times New Roman"/>
          <w:b/>
          <w:bCs/>
        </w:rPr>
        <w:t>відрядження, транспортування, проживання команди Виконавця</w:t>
      </w:r>
      <w:r w:rsidRPr="00E47A55">
        <w:rPr>
          <w:rFonts w:ascii="Times New Roman" w:hAnsi="Times New Roman" w:cs="Times New Roman"/>
        </w:rPr>
        <w:t xml:space="preserve"> тощо</w:t>
      </w:r>
      <w:r w:rsidR="00C30DF9" w:rsidRPr="00E47A55">
        <w:rPr>
          <w:rFonts w:ascii="Times New Roman" w:hAnsi="Times New Roman" w:cs="Times New Roman"/>
          <w:color w:val="000000" w:themeColor="text1"/>
        </w:rPr>
        <w:t>.</w:t>
      </w:r>
    </w:p>
    <w:p w14:paraId="3B8B3CF5" w14:textId="09D848C9" w:rsidR="00B76DCB" w:rsidRPr="00E47A55" w:rsidRDefault="00CC3ABB" w:rsidP="00B76DCB">
      <w:pPr>
        <w:pStyle w:val="ae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47A55">
        <w:rPr>
          <w:rFonts w:ascii="Times New Roman" w:hAnsi="Times New Roman" w:cs="Times New Roman"/>
          <w:color w:val="000000" w:themeColor="text1"/>
        </w:rPr>
        <w:t xml:space="preserve">При формуванні ціни Учасник зобов’язаний застосовувати </w:t>
      </w:r>
      <w:r w:rsidRPr="00E47A55">
        <w:rPr>
          <w:rFonts w:ascii="Times New Roman" w:hAnsi="Times New Roman" w:cs="Times New Roman"/>
          <w:b/>
          <w:bCs/>
          <w:color w:val="000000" w:themeColor="text1"/>
        </w:rPr>
        <w:t>метод усередненої вартості</w:t>
      </w:r>
      <w:r w:rsidRPr="00E47A55">
        <w:rPr>
          <w:rFonts w:ascii="Times New Roman" w:hAnsi="Times New Roman" w:cs="Times New Roman"/>
          <w:color w:val="000000" w:themeColor="text1"/>
        </w:rPr>
        <w:t xml:space="preserve">, незалежно від регіону України, у який здійснюватимуться відрядження команди Виконавця для виконання завдань </w:t>
      </w:r>
      <w:r w:rsidR="004E6097" w:rsidRPr="00E47A55">
        <w:rPr>
          <w:rFonts w:ascii="Times New Roman" w:hAnsi="Times New Roman" w:cs="Times New Roman"/>
          <w:color w:val="000000" w:themeColor="text1"/>
        </w:rPr>
        <w:t xml:space="preserve"> та проведення польових досліджень </w:t>
      </w:r>
      <w:r w:rsidRPr="00E47A55">
        <w:rPr>
          <w:rFonts w:ascii="Times New Roman" w:hAnsi="Times New Roman" w:cs="Times New Roman"/>
          <w:color w:val="000000" w:themeColor="text1"/>
        </w:rPr>
        <w:t xml:space="preserve">згідно з технічним завданням. </w:t>
      </w:r>
    </w:p>
    <w:p w14:paraId="34BF33CD" w14:textId="78075730" w:rsidR="00B76DCB" w:rsidRPr="009B33BE" w:rsidRDefault="00817421" w:rsidP="00817421">
      <w:pPr>
        <w:pStyle w:val="ae"/>
        <w:numPr>
          <w:ilvl w:val="0"/>
          <w:numId w:val="32"/>
        </w:numPr>
        <w:spacing w:line="240" w:lineRule="auto"/>
        <w:rPr>
          <w:rFonts w:ascii="Times New Roman" w:eastAsiaTheme="majorEastAsia" w:hAnsi="Times New Roman" w:cs="Times New Roman"/>
          <w:lang w:val="ru-RU"/>
        </w:rPr>
      </w:pPr>
      <w:r w:rsidRPr="00E47A55">
        <w:rPr>
          <w:rFonts w:ascii="Times New Roman" w:hAnsi="Times New Roman" w:cs="Times New Roman"/>
        </w:rPr>
        <w:t>У разі виникнення додаткових консультацій чи необхідності розширення робіт — використовуються погодинні ставки</w:t>
      </w:r>
      <w:r w:rsidR="009B33BE">
        <w:rPr>
          <w:rFonts w:ascii="Times New Roman" w:hAnsi="Times New Roman" w:cs="Times New Roman"/>
        </w:rPr>
        <w:t>.</w:t>
      </w:r>
    </w:p>
    <w:p w14:paraId="03019E6E" w14:textId="77777777" w:rsidR="009B33BE" w:rsidRPr="00E47A55" w:rsidRDefault="009B33BE" w:rsidP="009B33BE">
      <w:pPr>
        <w:pStyle w:val="ae"/>
        <w:spacing w:line="240" w:lineRule="auto"/>
        <w:ind w:left="502"/>
        <w:rPr>
          <w:rFonts w:ascii="Times New Roman" w:eastAsiaTheme="majorEastAsia" w:hAnsi="Times New Roman" w:cs="Times New Roman"/>
          <w:lang w:val="ru-RU"/>
        </w:rPr>
      </w:pPr>
    </w:p>
    <w:p w14:paraId="0296F468" w14:textId="46569873" w:rsidR="00587521" w:rsidRPr="00D9667B" w:rsidRDefault="00587521" w:rsidP="009B33BE">
      <w:pPr>
        <w:spacing w:after="0"/>
        <w:rPr>
          <w:rFonts w:ascii="Times New Roman" w:hAnsi="Times New Roman" w:cs="Times New Roman"/>
          <w:b/>
          <w:bCs/>
        </w:rPr>
      </w:pPr>
      <w:r w:rsidRPr="00D9667B">
        <w:rPr>
          <w:rFonts w:ascii="Times New Roman" w:hAnsi="Times New Roman" w:cs="Times New Roman"/>
          <w:b/>
          <w:bCs/>
        </w:rPr>
        <w:t xml:space="preserve">ПРИМІТКИ </w:t>
      </w:r>
    </w:p>
    <w:p w14:paraId="3AE91F97" w14:textId="77777777" w:rsidR="00AF56B2" w:rsidRDefault="00190AE0" w:rsidP="00D9667B">
      <w:pPr>
        <w:pStyle w:val="ae"/>
        <w:numPr>
          <w:ilvl w:val="0"/>
          <w:numId w:val="32"/>
        </w:numPr>
        <w:ind w:left="284" w:right="140" w:hanging="142"/>
        <w:jc w:val="both"/>
        <w:rPr>
          <w:rFonts w:ascii="Times New Roman" w:hAnsi="Times New Roman" w:cs="Times New Roman"/>
        </w:rPr>
      </w:pPr>
      <w:r w:rsidRPr="00D9667B">
        <w:rPr>
          <w:rFonts w:ascii="Times New Roman" w:hAnsi="Times New Roman" w:cs="Times New Roman"/>
          <w:color w:val="000000" w:themeColor="text1"/>
        </w:rPr>
        <w:t>Замовник залишає за собою право визначати регіони для відряджень або надати Виконавцю можливість самостійно їх визначити на підставі проведеного дослідження</w:t>
      </w:r>
      <w:r w:rsidRPr="00D9667B">
        <w:rPr>
          <w:rFonts w:ascii="Times New Roman" w:hAnsi="Times New Roman" w:cs="Times New Roman"/>
        </w:rPr>
        <w:t>.</w:t>
      </w:r>
    </w:p>
    <w:p w14:paraId="1A660263" w14:textId="77777777" w:rsidR="00AF56B2" w:rsidRDefault="00587521" w:rsidP="00AF56B2">
      <w:pPr>
        <w:pStyle w:val="ae"/>
        <w:numPr>
          <w:ilvl w:val="0"/>
          <w:numId w:val="32"/>
        </w:numPr>
        <w:ind w:left="284" w:right="140" w:hanging="142"/>
        <w:jc w:val="both"/>
        <w:rPr>
          <w:rFonts w:ascii="Times New Roman" w:hAnsi="Times New Roman" w:cs="Times New Roman"/>
        </w:rPr>
      </w:pPr>
      <w:r w:rsidRPr="00D9667B">
        <w:rPr>
          <w:rFonts w:ascii="Times New Roman" w:hAnsi="Times New Roman" w:cs="Times New Roman"/>
        </w:rPr>
        <w:t>Замовник може скоригувати формат презентації результатів (</w:t>
      </w:r>
      <w:proofErr w:type="spellStart"/>
      <w:r w:rsidRPr="00D9667B">
        <w:rPr>
          <w:rFonts w:ascii="Times New Roman" w:hAnsi="Times New Roman" w:cs="Times New Roman"/>
        </w:rPr>
        <w:t>офлайн</w:t>
      </w:r>
      <w:proofErr w:type="spellEnd"/>
      <w:r w:rsidRPr="00D9667B">
        <w:rPr>
          <w:rFonts w:ascii="Times New Roman" w:hAnsi="Times New Roman" w:cs="Times New Roman"/>
        </w:rPr>
        <w:t xml:space="preserve"> / онлайн).</w:t>
      </w:r>
    </w:p>
    <w:p w14:paraId="4C585669" w14:textId="77316E5D" w:rsidR="00146AD9" w:rsidRPr="00AF56B2" w:rsidRDefault="00D9667B" w:rsidP="00AF56B2">
      <w:pPr>
        <w:pStyle w:val="ae"/>
        <w:numPr>
          <w:ilvl w:val="0"/>
          <w:numId w:val="32"/>
        </w:numPr>
        <w:ind w:left="284" w:right="140" w:hanging="142"/>
        <w:rPr>
          <w:rFonts w:ascii="Times New Roman" w:hAnsi="Times New Roman" w:cs="Times New Roman"/>
        </w:rPr>
      </w:pPr>
      <w:r w:rsidRPr="00AF56B2">
        <w:rPr>
          <w:rFonts w:ascii="Times New Roman" w:hAnsi="Times New Roman" w:cs="Times New Roman"/>
        </w:rPr>
        <w:t xml:space="preserve">Пропозиція повинна супроводжуватись резюме ключових експертів команди </w:t>
      </w:r>
      <w:r w:rsidR="00AF56B2" w:rsidRPr="00AF56B2">
        <w:rPr>
          <w:rFonts w:ascii="Times New Roman" w:hAnsi="Times New Roman" w:cs="Times New Roman"/>
        </w:rPr>
        <w:t xml:space="preserve">з описом їх досвіду та участю в аналогічних </w:t>
      </w:r>
      <w:proofErr w:type="spellStart"/>
      <w:r w:rsidR="00AF56B2" w:rsidRPr="00AF56B2">
        <w:rPr>
          <w:rFonts w:ascii="Times New Roman" w:hAnsi="Times New Roman" w:cs="Times New Roman"/>
        </w:rPr>
        <w:t>проєктах</w:t>
      </w:r>
      <w:proofErr w:type="spellEnd"/>
      <w:r w:rsidR="00AF56B2" w:rsidRPr="00AF56B2">
        <w:rPr>
          <w:rFonts w:ascii="Times New Roman" w:hAnsi="Times New Roman" w:cs="Times New Roman"/>
        </w:rPr>
        <w:t>.</w:t>
      </w:r>
      <w:r w:rsidRPr="00AF56B2">
        <w:rPr>
          <w:rFonts w:ascii="Times New Roman" w:hAnsi="Times New Roman" w:cs="Times New Roman"/>
        </w:rPr>
        <w:t>)</w:t>
      </w:r>
      <w:r w:rsidR="00587521" w:rsidRPr="00AF56B2">
        <w:rPr>
          <w:rFonts w:ascii="Times New Roman" w:hAnsi="Times New Roman" w:cs="Times New Roman"/>
        </w:rPr>
        <w:br/>
      </w:r>
    </w:p>
    <w:p w14:paraId="0CD42F5C" w14:textId="27358C69" w:rsidR="00146AD9" w:rsidRPr="001D30C5" w:rsidRDefault="00146AD9" w:rsidP="009B33BE">
      <w:pPr>
        <w:spacing w:after="0"/>
        <w:ind w:right="140" w:firstLine="357"/>
        <w:jc w:val="both"/>
        <w:rPr>
          <w:i/>
          <w:iCs/>
          <w:color w:val="000000" w:themeColor="text1"/>
          <w:spacing w:val="-4"/>
        </w:rPr>
      </w:pPr>
      <w:r w:rsidRPr="001D30C5">
        <w:rPr>
          <w:rFonts w:eastAsia="Arial Unicode MS"/>
          <w:i/>
          <w:iCs/>
          <w:color w:val="000000" w:themeColor="text1"/>
        </w:rPr>
        <w:t>Подаючи свою пропозицію ми пого</w:t>
      </w:r>
      <w:r w:rsidRPr="001D30C5">
        <w:rPr>
          <w:i/>
          <w:iCs/>
          <w:color w:val="000000" w:themeColor="text1"/>
          <w:spacing w:val="-4"/>
        </w:rPr>
        <w:t>джуємося з усіма кваліфікаційними та технічними вимогами, які зазначені в Запиті та Додатках до нього.</w:t>
      </w:r>
    </w:p>
    <w:p w14:paraId="2D70D17E" w14:textId="24D505BE" w:rsidR="00146AD9" w:rsidRDefault="00146AD9" w:rsidP="00146AD9">
      <w:pPr>
        <w:ind w:right="140" w:firstLine="357"/>
        <w:jc w:val="both"/>
        <w:rPr>
          <w:i/>
          <w:iCs/>
          <w:color w:val="000000" w:themeColor="text1"/>
          <w:spacing w:val="-4"/>
        </w:rPr>
      </w:pPr>
      <w:r w:rsidRPr="001D30C5">
        <w:rPr>
          <w:i/>
          <w:iCs/>
          <w:color w:val="000000" w:themeColor="text1"/>
          <w:spacing w:val="-4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5C21AB62" w14:textId="77777777" w:rsidR="00146AD9" w:rsidRPr="001D30C5" w:rsidRDefault="00146AD9" w:rsidP="00146AD9">
      <w:pPr>
        <w:ind w:right="140" w:firstLine="357"/>
        <w:jc w:val="both"/>
        <w:rPr>
          <w:i/>
          <w:iCs/>
          <w:color w:val="000000" w:themeColor="text1"/>
          <w:spacing w:val="-4"/>
        </w:rPr>
      </w:pPr>
    </w:p>
    <w:p w14:paraId="12B8BBED" w14:textId="77777777" w:rsidR="00146AD9" w:rsidRPr="009B33BE" w:rsidRDefault="00146AD9" w:rsidP="00146AD9">
      <w:pPr>
        <w:ind w:firstLine="708"/>
        <w:rPr>
          <w:rFonts w:ascii="Times New Roman" w:hAnsi="Times New Roman" w:cs="Times New Roman"/>
          <w:color w:val="000000" w:themeColor="text1"/>
        </w:rPr>
      </w:pPr>
      <w:r w:rsidRPr="009B33BE">
        <w:rPr>
          <w:rFonts w:ascii="Times New Roman" w:hAnsi="Times New Roman" w:cs="Times New Roman"/>
          <w:color w:val="000000" w:themeColor="text1"/>
        </w:rPr>
        <w:t>Керівник організації/ФОП:</w:t>
      </w:r>
      <w:r w:rsidRPr="009B33BE">
        <w:rPr>
          <w:rFonts w:ascii="Times New Roman" w:hAnsi="Times New Roman" w:cs="Times New Roman"/>
          <w:color w:val="000000" w:themeColor="text1"/>
        </w:rPr>
        <w:tab/>
        <w:t>_________________________ ( ____________________)</w:t>
      </w:r>
    </w:p>
    <w:p w14:paraId="1B6164C9" w14:textId="0A33903F" w:rsidR="00587521" w:rsidRPr="009B33BE" w:rsidRDefault="00146AD9" w:rsidP="009B33BE">
      <w:pPr>
        <w:ind w:firstLine="708"/>
        <w:rPr>
          <w:rFonts w:ascii="Times New Roman" w:hAnsi="Times New Roman" w:cs="Times New Roman"/>
        </w:rPr>
      </w:pPr>
      <w:r w:rsidRPr="009B33BE">
        <w:rPr>
          <w:rFonts w:ascii="Times New Roman" w:hAnsi="Times New Roman" w:cs="Times New Roman"/>
          <w:color w:val="000000" w:themeColor="text1"/>
        </w:rPr>
        <w:t xml:space="preserve"> МП        дата                                                 підп</w:t>
      </w:r>
      <w:r w:rsidRPr="009B33BE">
        <w:rPr>
          <w:rFonts w:ascii="Times New Roman" w:hAnsi="Times New Roman" w:cs="Times New Roman"/>
        </w:rPr>
        <w:t>ис</w:t>
      </w:r>
      <w:r w:rsidRPr="009B33BE">
        <w:rPr>
          <w:rFonts w:ascii="Times New Roman" w:hAnsi="Times New Roman" w:cs="Times New Roman"/>
        </w:rPr>
        <w:tab/>
      </w:r>
      <w:r w:rsidRPr="009B33BE">
        <w:rPr>
          <w:rFonts w:ascii="Times New Roman" w:hAnsi="Times New Roman" w:cs="Times New Roman"/>
        </w:rPr>
        <w:tab/>
      </w:r>
      <w:r w:rsidRPr="009B33BE">
        <w:rPr>
          <w:rFonts w:ascii="Times New Roman" w:hAnsi="Times New Roman" w:cs="Times New Roman"/>
        </w:rPr>
        <w:tab/>
        <w:t>ПІБ</w:t>
      </w:r>
    </w:p>
    <w:sectPr w:rsidR="00587521" w:rsidRPr="009B33BE" w:rsidSect="009B33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F72F" w14:textId="77777777" w:rsidR="002C310B" w:rsidRPr="00AD2460" w:rsidRDefault="002C310B" w:rsidP="00101C4E">
      <w:pPr>
        <w:spacing w:after="0" w:line="240" w:lineRule="auto"/>
      </w:pPr>
      <w:r w:rsidRPr="00AD2460">
        <w:separator/>
      </w:r>
    </w:p>
  </w:endnote>
  <w:endnote w:type="continuationSeparator" w:id="0">
    <w:p w14:paraId="66E10D6C" w14:textId="77777777" w:rsidR="002C310B" w:rsidRPr="00AD2460" w:rsidRDefault="002C310B" w:rsidP="00101C4E">
      <w:pPr>
        <w:spacing w:after="0" w:line="240" w:lineRule="auto"/>
      </w:pPr>
      <w:r w:rsidRPr="00AD24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C69B" w14:textId="77777777" w:rsidR="00146AD9" w:rsidRDefault="00146A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DBFF" w14:textId="77777777" w:rsidR="00146AD9" w:rsidRDefault="00146AD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2C43" w14:textId="77777777" w:rsidR="00146AD9" w:rsidRDefault="00146A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800E" w14:textId="77777777" w:rsidR="002C310B" w:rsidRPr="00AD2460" w:rsidRDefault="002C310B" w:rsidP="00101C4E">
      <w:pPr>
        <w:spacing w:after="0" w:line="240" w:lineRule="auto"/>
      </w:pPr>
      <w:r w:rsidRPr="00AD2460">
        <w:separator/>
      </w:r>
    </w:p>
  </w:footnote>
  <w:footnote w:type="continuationSeparator" w:id="0">
    <w:p w14:paraId="461519D6" w14:textId="77777777" w:rsidR="002C310B" w:rsidRPr="00AD2460" w:rsidRDefault="002C310B" w:rsidP="00101C4E">
      <w:pPr>
        <w:spacing w:after="0" w:line="240" w:lineRule="auto"/>
      </w:pPr>
      <w:r w:rsidRPr="00AD24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4464" w14:textId="77777777" w:rsidR="00146AD9" w:rsidRDefault="00146A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EB68" w14:textId="472EC791" w:rsidR="00101C4E" w:rsidRPr="00A26645" w:rsidRDefault="00101C4E">
    <w:pPr>
      <w:pStyle w:val="a5"/>
      <w:rPr>
        <w:rFonts w:ascii="Times New Roman" w:hAnsi="Times New Roman" w:cs="Times New Roman"/>
        <w:b/>
        <w:bCs/>
      </w:rPr>
    </w:pPr>
    <w:r w:rsidRPr="00A26645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4ED8E75" wp14:editId="5C5747B2">
          <wp:simplePos x="0" y="0"/>
          <wp:positionH relativeFrom="margin">
            <wp:posOffset>0</wp:posOffset>
          </wp:positionH>
          <wp:positionV relativeFrom="paragraph">
            <wp:posOffset>-285750</wp:posOffset>
          </wp:positionV>
          <wp:extent cx="520700" cy="515620"/>
          <wp:effectExtent l="0" t="0" r="0" b="0"/>
          <wp:wrapSquare wrapText="bothSides"/>
          <wp:docPr id="1516883010" name="Picture 4" descr="A red cross on a white circl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960FA1C-AEFE-937E-7FA6-8D11DF798C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red cross on a white circle&#10;&#10;Description automatically generated">
                    <a:extLst>
                      <a:ext uri="{FF2B5EF4-FFF2-40B4-BE49-F238E27FC236}">
                        <a16:creationId xmlns:a16="http://schemas.microsoft.com/office/drawing/2014/main" id="{8960FA1C-AEFE-937E-7FA6-8D11DF798C8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6AD9" w:rsidRPr="00A26645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</w:t>
    </w:r>
    <w:r w:rsidR="00146AD9" w:rsidRPr="00A26645">
      <w:rPr>
        <w:rFonts w:ascii="Times New Roman" w:hAnsi="Times New Roman" w:cs="Times New Roman"/>
        <w:b/>
        <w:bCs/>
      </w:rPr>
      <w:t xml:space="preserve">Додаток </w:t>
    </w:r>
    <w:r w:rsidR="00B124E2" w:rsidRPr="00A26645">
      <w:rPr>
        <w:rFonts w:ascii="Times New Roman" w:hAnsi="Times New Roman" w:cs="Times New Roman"/>
        <w:b/>
        <w:bCs/>
      </w:rPr>
      <w:t>2</w:t>
    </w:r>
  </w:p>
  <w:p w14:paraId="199BB09D" w14:textId="55C38449" w:rsidR="00B124E2" w:rsidRPr="00A26645" w:rsidRDefault="00B124E2">
    <w:pPr>
      <w:pStyle w:val="a5"/>
      <w:rPr>
        <w:rFonts w:ascii="Times New Roman" w:hAnsi="Times New Roman" w:cs="Times New Roman"/>
      </w:rPr>
    </w:pPr>
    <w:r w:rsidRPr="00A26645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до Запиту</w:t>
    </w:r>
    <w:r w:rsidR="00A26645" w:rsidRPr="00A26645">
      <w:rPr>
        <w:rFonts w:ascii="Times New Roman" w:hAnsi="Times New Roman" w:cs="Times New Roman"/>
      </w:rPr>
      <w:t xml:space="preserve"> 2198ОК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067E" w14:textId="77777777" w:rsidR="00146AD9" w:rsidRDefault="00146A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0ACE25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D536CA"/>
    <w:multiLevelType w:val="multilevel"/>
    <w:tmpl w:val="D222DC62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3155A0"/>
    <w:multiLevelType w:val="multilevel"/>
    <w:tmpl w:val="6BB6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DE1A18"/>
    <w:multiLevelType w:val="multilevel"/>
    <w:tmpl w:val="165C1BE8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color w:val="FF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B600E"/>
    <w:multiLevelType w:val="hybridMultilevel"/>
    <w:tmpl w:val="C60C443C"/>
    <w:lvl w:ilvl="0" w:tplc="379A88AA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plc="6324EC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C4A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BC3F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3AD1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36B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5ED7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84F6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740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E0421"/>
    <w:multiLevelType w:val="hybridMultilevel"/>
    <w:tmpl w:val="A030E4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90849"/>
    <w:multiLevelType w:val="multilevel"/>
    <w:tmpl w:val="0A70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EF418C"/>
    <w:multiLevelType w:val="multilevel"/>
    <w:tmpl w:val="45006ED0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8B6648"/>
    <w:multiLevelType w:val="multilevel"/>
    <w:tmpl w:val="6DAA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9B6AC5"/>
    <w:multiLevelType w:val="hybridMultilevel"/>
    <w:tmpl w:val="C8284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56765"/>
    <w:multiLevelType w:val="multilevel"/>
    <w:tmpl w:val="D780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2F0092"/>
    <w:multiLevelType w:val="hybridMultilevel"/>
    <w:tmpl w:val="32BA8D1C"/>
    <w:lvl w:ilvl="0" w:tplc="3BDCE53E">
      <w:start w:val="1"/>
      <w:numFmt w:val="bullet"/>
      <w:lvlText w:val="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F2436D6"/>
    <w:multiLevelType w:val="multilevel"/>
    <w:tmpl w:val="EC7E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6147C1"/>
    <w:multiLevelType w:val="multilevel"/>
    <w:tmpl w:val="FF0C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D1081F"/>
    <w:multiLevelType w:val="multilevel"/>
    <w:tmpl w:val="5EE6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247EF8"/>
    <w:multiLevelType w:val="multilevel"/>
    <w:tmpl w:val="D266310E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CB307B"/>
    <w:multiLevelType w:val="multilevel"/>
    <w:tmpl w:val="CFB63190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F100F8"/>
    <w:multiLevelType w:val="multilevel"/>
    <w:tmpl w:val="ED0C8F58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946457"/>
    <w:multiLevelType w:val="multilevel"/>
    <w:tmpl w:val="104EF392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F015C6"/>
    <w:multiLevelType w:val="multilevel"/>
    <w:tmpl w:val="E87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7F4B77"/>
    <w:multiLevelType w:val="hybridMultilevel"/>
    <w:tmpl w:val="63FC3996"/>
    <w:lvl w:ilvl="0" w:tplc="9B5E05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3F813CD"/>
    <w:multiLevelType w:val="multilevel"/>
    <w:tmpl w:val="B54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E24A18"/>
    <w:multiLevelType w:val="multilevel"/>
    <w:tmpl w:val="59D0FE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7110A"/>
    <w:multiLevelType w:val="hybridMultilevel"/>
    <w:tmpl w:val="DF1CD576"/>
    <w:lvl w:ilvl="0" w:tplc="3BDCE53E">
      <w:start w:val="1"/>
      <w:numFmt w:val="bullet"/>
      <w:lvlText w:val="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317099B"/>
    <w:multiLevelType w:val="hybridMultilevel"/>
    <w:tmpl w:val="CA26CA12"/>
    <w:lvl w:ilvl="0" w:tplc="8E90C0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750051">
    <w:abstractNumId w:val="31"/>
  </w:num>
  <w:num w:numId="2" w16cid:durableId="1561818064">
    <w:abstractNumId w:val="8"/>
  </w:num>
  <w:num w:numId="3" w16cid:durableId="795835799">
    <w:abstractNumId w:val="6"/>
  </w:num>
  <w:num w:numId="4" w16cid:durableId="407728450">
    <w:abstractNumId w:val="5"/>
  </w:num>
  <w:num w:numId="5" w16cid:durableId="831485344">
    <w:abstractNumId w:val="4"/>
  </w:num>
  <w:num w:numId="6" w16cid:durableId="1265070648">
    <w:abstractNumId w:val="7"/>
  </w:num>
  <w:num w:numId="7" w16cid:durableId="1593276369">
    <w:abstractNumId w:val="3"/>
  </w:num>
  <w:num w:numId="8" w16cid:durableId="203951413">
    <w:abstractNumId w:val="2"/>
  </w:num>
  <w:num w:numId="9" w16cid:durableId="821166988">
    <w:abstractNumId w:val="1"/>
  </w:num>
  <w:num w:numId="10" w16cid:durableId="449009160">
    <w:abstractNumId w:val="0"/>
  </w:num>
  <w:num w:numId="11" w16cid:durableId="116798257">
    <w:abstractNumId w:val="9"/>
  </w:num>
  <w:num w:numId="12" w16cid:durableId="134686663">
    <w:abstractNumId w:val="17"/>
  </w:num>
  <w:num w:numId="13" w16cid:durableId="530344942">
    <w:abstractNumId w:val="23"/>
  </w:num>
  <w:num w:numId="14" w16cid:durableId="936795099">
    <w:abstractNumId w:val="30"/>
  </w:num>
  <w:num w:numId="15" w16cid:durableId="1068923252">
    <w:abstractNumId w:val="15"/>
  </w:num>
  <w:num w:numId="16" w16cid:durableId="1987205106">
    <w:abstractNumId w:val="28"/>
  </w:num>
  <w:num w:numId="17" w16cid:durableId="937257388">
    <w:abstractNumId w:val="22"/>
  </w:num>
  <w:num w:numId="18" w16cid:durableId="917328526">
    <w:abstractNumId w:val="11"/>
  </w:num>
  <w:num w:numId="19" w16cid:durableId="1605771406">
    <w:abstractNumId w:val="16"/>
  </w:num>
  <w:num w:numId="20" w16cid:durableId="544752024">
    <w:abstractNumId w:val="25"/>
  </w:num>
  <w:num w:numId="21" w16cid:durableId="1938781350">
    <w:abstractNumId w:val="21"/>
  </w:num>
  <w:num w:numId="22" w16cid:durableId="1460949253">
    <w:abstractNumId w:val="24"/>
  </w:num>
  <w:num w:numId="23" w16cid:durableId="706101503">
    <w:abstractNumId w:val="10"/>
  </w:num>
  <w:num w:numId="24" w16cid:durableId="1517305512">
    <w:abstractNumId w:val="19"/>
  </w:num>
  <w:num w:numId="25" w16cid:durableId="696736151">
    <w:abstractNumId w:val="20"/>
  </w:num>
  <w:num w:numId="26" w16cid:durableId="1085878290">
    <w:abstractNumId w:val="12"/>
  </w:num>
  <w:num w:numId="27" w16cid:durableId="617494700">
    <w:abstractNumId w:val="33"/>
  </w:num>
  <w:num w:numId="28" w16cid:durableId="1109204942">
    <w:abstractNumId w:val="32"/>
  </w:num>
  <w:num w:numId="29" w16cid:durableId="570577995">
    <w:abstractNumId w:val="27"/>
  </w:num>
  <w:num w:numId="30" w16cid:durableId="1621372366">
    <w:abstractNumId w:val="26"/>
  </w:num>
  <w:num w:numId="31" w16cid:durableId="214708411">
    <w:abstractNumId w:val="18"/>
  </w:num>
  <w:num w:numId="32" w16cid:durableId="1071852785">
    <w:abstractNumId w:val="13"/>
  </w:num>
  <w:num w:numId="33" w16cid:durableId="163859919">
    <w:abstractNumId w:val="14"/>
  </w:num>
  <w:num w:numId="34" w16cid:durableId="15333734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3B"/>
    <w:rsid w:val="00017A64"/>
    <w:rsid w:val="00025F8B"/>
    <w:rsid w:val="00034616"/>
    <w:rsid w:val="00035504"/>
    <w:rsid w:val="00037820"/>
    <w:rsid w:val="0006063C"/>
    <w:rsid w:val="00064EC0"/>
    <w:rsid w:val="00071AE0"/>
    <w:rsid w:val="00085535"/>
    <w:rsid w:val="0009448E"/>
    <w:rsid w:val="00094CA7"/>
    <w:rsid w:val="000950D7"/>
    <w:rsid w:val="000A1092"/>
    <w:rsid w:val="000A1C2C"/>
    <w:rsid w:val="000A5363"/>
    <w:rsid w:val="000B1866"/>
    <w:rsid w:val="000C0632"/>
    <w:rsid w:val="000D30D6"/>
    <w:rsid w:val="000D3BE0"/>
    <w:rsid w:val="000D4C2B"/>
    <w:rsid w:val="000D64F2"/>
    <w:rsid w:val="000F4ECA"/>
    <w:rsid w:val="00101C4E"/>
    <w:rsid w:val="0010450F"/>
    <w:rsid w:val="00107C16"/>
    <w:rsid w:val="00124311"/>
    <w:rsid w:val="00130E6C"/>
    <w:rsid w:val="00136F42"/>
    <w:rsid w:val="00146AD9"/>
    <w:rsid w:val="0015074B"/>
    <w:rsid w:val="00151189"/>
    <w:rsid w:val="00153540"/>
    <w:rsid w:val="0015755F"/>
    <w:rsid w:val="00162E73"/>
    <w:rsid w:val="001710D6"/>
    <w:rsid w:val="00174A5B"/>
    <w:rsid w:val="001836FD"/>
    <w:rsid w:val="00190AE0"/>
    <w:rsid w:val="00194CA3"/>
    <w:rsid w:val="00195062"/>
    <w:rsid w:val="001A21E2"/>
    <w:rsid w:val="001B0668"/>
    <w:rsid w:val="001D6B9C"/>
    <w:rsid w:val="001E1CF1"/>
    <w:rsid w:val="001E3E80"/>
    <w:rsid w:val="00212D6C"/>
    <w:rsid w:val="00213C85"/>
    <w:rsid w:val="00220C1C"/>
    <w:rsid w:val="00225045"/>
    <w:rsid w:val="00230829"/>
    <w:rsid w:val="00234CC3"/>
    <w:rsid w:val="00236481"/>
    <w:rsid w:val="00252711"/>
    <w:rsid w:val="002574D3"/>
    <w:rsid w:val="00275C44"/>
    <w:rsid w:val="002923BE"/>
    <w:rsid w:val="0029639D"/>
    <w:rsid w:val="002C310B"/>
    <w:rsid w:val="002D2975"/>
    <w:rsid w:val="002D6334"/>
    <w:rsid w:val="002D6D52"/>
    <w:rsid w:val="002F2757"/>
    <w:rsid w:val="00306154"/>
    <w:rsid w:val="00310ECC"/>
    <w:rsid w:val="0031138C"/>
    <w:rsid w:val="00326F90"/>
    <w:rsid w:val="0033212C"/>
    <w:rsid w:val="00336983"/>
    <w:rsid w:val="00340DD2"/>
    <w:rsid w:val="003547B4"/>
    <w:rsid w:val="0035681D"/>
    <w:rsid w:val="00363620"/>
    <w:rsid w:val="003B0D69"/>
    <w:rsid w:val="003B56D9"/>
    <w:rsid w:val="003E61EB"/>
    <w:rsid w:val="003F1445"/>
    <w:rsid w:val="004055E9"/>
    <w:rsid w:val="0040600D"/>
    <w:rsid w:val="004250F9"/>
    <w:rsid w:val="004274ED"/>
    <w:rsid w:val="00431E55"/>
    <w:rsid w:val="00434E97"/>
    <w:rsid w:val="004466D5"/>
    <w:rsid w:val="00456E90"/>
    <w:rsid w:val="004616E0"/>
    <w:rsid w:val="00484CE9"/>
    <w:rsid w:val="0049297E"/>
    <w:rsid w:val="004A4929"/>
    <w:rsid w:val="004C6AA3"/>
    <w:rsid w:val="004E56F9"/>
    <w:rsid w:val="004E6097"/>
    <w:rsid w:val="004F1B67"/>
    <w:rsid w:val="004F6739"/>
    <w:rsid w:val="004F692E"/>
    <w:rsid w:val="005078B1"/>
    <w:rsid w:val="00516CB1"/>
    <w:rsid w:val="00521CCA"/>
    <w:rsid w:val="0052213B"/>
    <w:rsid w:val="00524B1E"/>
    <w:rsid w:val="00531671"/>
    <w:rsid w:val="00537361"/>
    <w:rsid w:val="00545539"/>
    <w:rsid w:val="00553D0F"/>
    <w:rsid w:val="00555E41"/>
    <w:rsid w:val="00560AD0"/>
    <w:rsid w:val="0056500D"/>
    <w:rsid w:val="0056676F"/>
    <w:rsid w:val="00571611"/>
    <w:rsid w:val="00573F2E"/>
    <w:rsid w:val="00575AF6"/>
    <w:rsid w:val="0057798B"/>
    <w:rsid w:val="00581B51"/>
    <w:rsid w:val="00585AEE"/>
    <w:rsid w:val="00587521"/>
    <w:rsid w:val="005A1E7E"/>
    <w:rsid w:val="005A6C04"/>
    <w:rsid w:val="005A78D7"/>
    <w:rsid w:val="005B7C03"/>
    <w:rsid w:val="005F7CDD"/>
    <w:rsid w:val="00604ABC"/>
    <w:rsid w:val="00634808"/>
    <w:rsid w:val="006403B4"/>
    <w:rsid w:val="00666C78"/>
    <w:rsid w:val="0067434A"/>
    <w:rsid w:val="00686084"/>
    <w:rsid w:val="00697C81"/>
    <w:rsid w:val="006A68C9"/>
    <w:rsid w:val="006B52F7"/>
    <w:rsid w:val="006C48FF"/>
    <w:rsid w:val="006C57C2"/>
    <w:rsid w:val="006C629F"/>
    <w:rsid w:val="006E2661"/>
    <w:rsid w:val="006E7F64"/>
    <w:rsid w:val="00713DC9"/>
    <w:rsid w:val="007155C2"/>
    <w:rsid w:val="00735181"/>
    <w:rsid w:val="00756078"/>
    <w:rsid w:val="00766443"/>
    <w:rsid w:val="00768770"/>
    <w:rsid w:val="00784D7C"/>
    <w:rsid w:val="007871B4"/>
    <w:rsid w:val="00787C24"/>
    <w:rsid w:val="007916EA"/>
    <w:rsid w:val="007947AE"/>
    <w:rsid w:val="0079788D"/>
    <w:rsid w:val="007A27AA"/>
    <w:rsid w:val="007A352B"/>
    <w:rsid w:val="007A504C"/>
    <w:rsid w:val="007E486A"/>
    <w:rsid w:val="007E547B"/>
    <w:rsid w:val="00817421"/>
    <w:rsid w:val="0082428B"/>
    <w:rsid w:val="00830008"/>
    <w:rsid w:val="008315E8"/>
    <w:rsid w:val="00832019"/>
    <w:rsid w:val="0084369F"/>
    <w:rsid w:val="00861D31"/>
    <w:rsid w:val="00863BDA"/>
    <w:rsid w:val="00880C0F"/>
    <w:rsid w:val="008833D0"/>
    <w:rsid w:val="008937E6"/>
    <w:rsid w:val="008C0DF7"/>
    <w:rsid w:val="008C201A"/>
    <w:rsid w:val="008D14FF"/>
    <w:rsid w:val="008D33CE"/>
    <w:rsid w:val="008D4A60"/>
    <w:rsid w:val="008E6088"/>
    <w:rsid w:val="008F438C"/>
    <w:rsid w:val="008F7E33"/>
    <w:rsid w:val="008F7F74"/>
    <w:rsid w:val="009102C6"/>
    <w:rsid w:val="00917E14"/>
    <w:rsid w:val="009227EB"/>
    <w:rsid w:val="00932D2C"/>
    <w:rsid w:val="00937C28"/>
    <w:rsid w:val="00940D45"/>
    <w:rsid w:val="00943C11"/>
    <w:rsid w:val="00977AC7"/>
    <w:rsid w:val="009841EF"/>
    <w:rsid w:val="00985FB3"/>
    <w:rsid w:val="0099152D"/>
    <w:rsid w:val="00991955"/>
    <w:rsid w:val="00994055"/>
    <w:rsid w:val="009A3C46"/>
    <w:rsid w:val="009B3186"/>
    <w:rsid w:val="009B33BE"/>
    <w:rsid w:val="009C04EE"/>
    <w:rsid w:val="009C4436"/>
    <w:rsid w:val="009C76AB"/>
    <w:rsid w:val="009D3A0F"/>
    <w:rsid w:val="009E1525"/>
    <w:rsid w:val="009E4EFE"/>
    <w:rsid w:val="009E6933"/>
    <w:rsid w:val="00A11B77"/>
    <w:rsid w:val="00A26645"/>
    <w:rsid w:val="00A26A79"/>
    <w:rsid w:val="00A328B8"/>
    <w:rsid w:val="00A8523A"/>
    <w:rsid w:val="00A86D2A"/>
    <w:rsid w:val="00AA1D8D"/>
    <w:rsid w:val="00AA2E2B"/>
    <w:rsid w:val="00AA401D"/>
    <w:rsid w:val="00AB0570"/>
    <w:rsid w:val="00AB1E16"/>
    <w:rsid w:val="00AB4F95"/>
    <w:rsid w:val="00AC176A"/>
    <w:rsid w:val="00AC55AA"/>
    <w:rsid w:val="00AD2460"/>
    <w:rsid w:val="00AE573F"/>
    <w:rsid w:val="00AF2EAF"/>
    <w:rsid w:val="00AF56B2"/>
    <w:rsid w:val="00B0349A"/>
    <w:rsid w:val="00B124E2"/>
    <w:rsid w:val="00B1397D"/>
    <w:rsid w:val="00B15755"/>
    <w:rsid w:val="00B16604"/>
    <w:rsid w:val="00B22C8C"/>
    <w:rsid w:val="00B278A3"/>
    <w:rsid w:val="00B37DB6"/>
    <w:rsid w:val="00B4149C"/>
    <w:rsid w:val="00B42ADF"/>
    <w:rsid w:val="00B4636A"/>
    <w:rsid w:val="00B47730"/>
    <w:rsid w:val="00B55511"/>
    <w:rsid w:val="00B61B22"/>
    <w:rsid w:val="00B76DCB"/>
    <w:rsid w:val="00BA1270"/>
    <w:rsid w:val="00BA5FA8"/>
    <w:rsid w:val="00BB4F4B"/>
    <w:rsid w:val="00BC798D"/>
    <w:rsid w:val="00C06CAA"/>
    <w:rsid w:val="00C07248"/>
    <w:rsid w:val="00C16238"/>
    <w:rsid w:val="00C238B5"/>
    <w:rsid w:val="00C30DF9"/>
    <w:rsid w:val="00C319D7"/>
    <w:rsid w:val="00C36907"/>
    <w:rsid w:val="00C51FA4"/>
    <w:rsid w:val="00C54B86"/>
    <w:rsid w:val="00C56805"/>
    <w:rsid w:val="00C74698"/>
    <w:rsid w:val="00C81AE2"/>
    <w:rsid w:val="00C82819"/>
    <w:rsid w:val="00C96E9E"/>
    <w:rsid w:val="00CB0664"/>
    <w:rsid w:val="00CB2FE8"/>
    <w:rsid w:val="00CC3ABB"/>
    <w:rsid w:val="00CE4B8E"/>
    <w:rsid w:val="00CF14DA"/>
    <w:rsid w:val="00D11BB2"/>
    <w:rsid w:val="00D349B5"/>
    <w:rsid w:val="00D34EFE"/>
    <w:rsid w:val="00D35716"/>
    <w:rsid w:val="00D4309B"/>
    <w:rsid w:val="00D476FD"/>
    <w:rsid w:val="00D529B5"/>
    <w:rsid w:val="00D530BE"/>
    <w:rsid w:val="00D5783D"/>
    <w:rsid w:val="00D84EDB"/>
    <w:rsid w:val="00D90B39"/>
    <w:rsid w:val="00D9118C"/>
    <w:rsid w:val="00D9332F"/>
    <w:rsid w:val="00D9667B"/>
    <w:rsid w:val="00DC354B"/>
    <w:rsid w:val="00DF71C3"/>
    <w:rsid w:val="00E02067"/>
    <w:rsid w:val="00E20490"/>
    <w:rsid w:val="00E36987"/>
    <w:rsid w:val="00E413AB"/>
    <w:rsid w:val="00E467BC"/>
    <w:rsid w:val="00E47A55"/>
    <w:rsid w:val="00E6581D"/>
    <w:rsid w:val="00E95AD0"/>
    <w:rsid w:val="00E97400"/>
    <w:rsid w:val="00E977FA"/>
    <w:rsid w:val="00EA6D2A"/>
    <w:rsid w:val="00EA7C0B"/>
    <w:rsid w:val="00EC616B"/>
    <w:rsid w:val="00ED16A8"/>
    <w:rsid w:val="00ED47FA"/>
    <w:rsid w:val="00ED4D79"/>
    <w:rsid w:val="00EE3345"/>
    <w:rsid w:val="00EE6F49"/>
    <w:rsid w:val="00F102CF"/>
    <w:rsid w:val="00F44653"/>
    <w:rsid w:val="00F53FEA"/>
    <w:rsid w:val="00F624CC"/>
    <w:rsid w:val="00F666C1"/>
    <w:rsid w:val="00F75CA8"/>
    <w:rsid w:val="00FA22AE"/>
    <w:rsid w:val="00FA3CF2"/>
    <w:rsid w:val="00FA7A29"/>
    <w:rsid w:val="00FB40A0"/>
    <w:rsid w:val="00FC324F"/>
    <w:rsid w:val="00FC5405"/>
    <w:rsid w:val="00FC693F"/>
    <w:rsid w:val="00FD77AD"/>
    <w:rsid w:val="00FE5A98"/>
    <w:rsid w:val="01E62106"/>
    <w:rsid w:val="071BA8FB"/>
    <w:rsid w:val="07218537"/>
    <w:rsid w:val="07299EAD"/>
    <w:rsid w:val="0C7C2BA9"/>
    <w:rsid w:val="0CEC2D69"/>
    <w:rsid w:val="0DB64006"/>
    <w:rsid w:val="0E0798AE"/>
    <w:rsid w:val="0EDAF121"/>
    <w:rsid w:val="1103522D"/>
    <w:rsid w:val="1154876E"/>
    <w:rsid w:val="14B0BFCB"/>
    <w:rsid w:val="14BB1C3D"/>
    <w:rsid w:val="1583040F"/>
    <w:rsid w:val="191FA9D4"/>
    <w:rsid w:val="1AAEE5B6"/>
    <w:rsid w:val="1D80CB4E"/>
    <w:rsid w:val="1F953120"/>
    <w:rsid w:val="20AFAC70"/>
    <w:rsid w:val="20E027CC"/>
    <w:rsid w:val="2201DA7F"/>
    <w:rsid w:val="228800F7"/>
    <w:rsid w:val="24BDA43D"/>
    <w:rsid w:val="258490E7"/>
    <w:rsid w:val="263F67F8"/>
    <w:rsid w:val="27015051"/>
    <w:rsid w:val="2B24865B"/>
    <w:rsid w:val="2C45A76A"/>
    <w:rsid w:val="2C4D1ED3"/>
    <w:rsid w:val="2E0C02BB"/>
    <w:rsid w:val="2EC53325"/>
    <w:rsid w:val="2EC5BFCB"/>
    <w:rsid w:val="2ED7E2A7"/>
    <w:rsid w:val="300BE129"/>
    <w:rsid w:val="30735CB2"/>
    <w:rsid w:val="31338B4A"/>
    <w:rsid w:val="333ADCDE"/>
    <w:rsid w:val="346D7899"/>
    <w:rsid w:val="3784F11C"/>
    <w:rsid w:val="37EA3B86"/>
    <w:rsid w:val="38898198"/>
    <w:rsid w:val="3DD26CCE"/>
    <w:rsid w:val="3FE54D35"/>
    <w:rsid w:val="42CFC43D"/>
    <w:rsid w:val="432281C6"/>
    <w:rsid w:val="438DAE2B"/>
    <w:rsid w:val="4414DA75"/>
    <w:rsid w:val="45881668"/>
    <w:rsid w:val="49577FDF"/>
    <w:rsid w:val="4EE6693D"/>
    <w:rsid w:val="5027F6FA"/>
    <w:rsid w:val="50559733"/>
    <w:rsid w:val="557A4F7B"/>
    <w:rsid w:val="561C6E4E"/>
    <w:rsid w:val="568B7773"/>
    <w:rsid w:val="575F7EF6"/>
    <w:rsid w:val="57780BCF"/>
    <w:rsid w:val="57A1639F"/>
    <w:rsid w:val="58D31911"/>
    <w:rsid w:val="5E82F750"/>
    <w:rsid w:val="5EBD9597"/>
    <w:rsid w:val="608121B2"/>
    <w:rsid w:val="621C8DBB"/>
    <w:rsid w:val="623791F1"/>
    <w:rsid w:val="6264FD47"/>
    <w:rsid w:val="6A7113DA"/>
    <w:rsid w:val="6D36C839"/>
    <w:rsid w:val="6E3F23D0"/>
    <w:rsid w:val="6EA2236C"/>
    <w:rsid w:val="6F305243"/>
    <w:rsid w:val="6F7D759E"/>
    <w:rsid w:val="6F98B849"/>
    <w:rsid w:val="709772A1"/>
    <w:rsid w:val="7253971D"/>
    <w:rsid w:val="72C0CD3D"/>
    <w:rsid w:val="73722A65"/>
    <w:rsid w:val="744F1B93"/>
    <w:rsid w:val="74BB2EF4"/>
    <w:rsid w:val="763C4619"/>
    <w:rsid w:val="7702086B"/>
    <w:rsid w:val="77567CE6"/>
    <w:rsid w:val="7944E383"/>
    <w:rsid w:val="7D14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75F080"/>
  <w14:defaultImageDpi w14:val="300"/>
  <w15:docId w15:val="{E9D8B0DE-D9E8-412E-B468-5B4DA4EF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lang w:val="uk-UA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и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8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у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af6">
    <w:name w:val="Quote"/>
    <w:basedOn w:val="a1"/>
    <w:next w:val="a1"/>
    <w:link w:val="af7"/>
    <w:uiPriority w:val="29"/>
    <w:qFormat/>
    <w:rsid w:val="00FC693F"/>
    <w:rPr>
      <w:i/>
      <w:iCs/>
      <w:color w:val="000000" w:themeColor="text1"/>
    </w:rPr>
  </w:style>
  <w:style w:type="character" w:customStyle="1" w:styleId="af7">
    <w:name w:val="Цитата Знак"/>
    <w:basedOn w:val="a2"/>
    <w:link w:val="af6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9">
    <w:name w:val="Strong"/>
    <w:basedOn w:val="a2"/>
    <w:uiPriority w:val="22"/>
    <w:qFormat/>
    <w:rsid w:val="00FC693F"/>
    <w:rPr>
      <w:b/>
      <w:bCs/>
    </w:rPr>
  </w:style>
  <w:style w:type="character" w:styleId="afa">
    <w:name w:val="Emphasis"/>
    <w:basedOn w:val="a2"/>
    <w:uiPriority w:val="20"/>
    <w:qFormat/>
    <w:rsid w:val="00FC693F"/>
    <w:rPr>
      <w:i/>
      <w:iCs/>
    </w:rPr>
  </w:style>
  <w:style w:type="paragraph" w:styleId="afb">
    <w:name w:val="Intense Quote"/>
    <w:basedOn w:val="a1"/>
    <w:next w:val="a1"/>
    <w:link w:val="afc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Насичена цитата Знак"/>
    <w:basedOn w:val="a2"/>
    <w:link w:val="afb"/>
    <w:uiPriority w:val="30"/>
    <w:rsid w:val="00FC693F"/>
    <w:rPr>
      <w:b/>
      <w:bCs/>
      <w:i/>
      <w:iCs/>
      <w:color w:val="4F81BD" w:themeColor="accent1"/>
    </w:rPr>
  </w:style>
  <w:style w:type="character" w:styleId="afd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e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f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0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2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3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b">
    <w:name w:val="annotation text"/>
    <w:basedOn w:val="a1"/>
    <w:link w:val="aff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c">
    <w:name w:val="Текст примітки Знак"/>
    <w:basedOn w:val="a2"/>
    <w:link w:val="affb"/>
    <w:uiPriority w:val="99"/>
    <w:rPr>
      <w:sz w:val="20"/>
      <w:szCs w:val="20"/>
    </w:rPr>
  </w:style>
  <w:style w:type="character" w:styleId="affd">
    <w:name w:val="annotation reference"/>
    <w:basedOn w:val="a2"/>
    <w:uiPriority w:val="99"/>
    <w:semiHidden/>
    <w:unhideWhenUsed/>
    <w:rPr>
      <w:sz w:val="16"/>
      <w:szCs w:val="16"/>
    </w:rPr>
  </w:style>
  <w:style w:type="character" w:customStyle="1" w:styleId="af">
    <w:name w:val="Абзац списку Знак"/>
    <w:basedOn w:val="a2"/>
    <w:link w:val="ae"/>
    <w:uiPriority w:val="34"/>
    <w:rsid w:val="00B76DCB"/>
    <w:rPr>
      <w:lang w:val="uk-UA"/>
    </w:rPr>
  </w:style>
  <w:style w:type="character" w:customStyle="1" w:styleId="normaltextrun">
    <w:name w:val="normaltextrun"/>
    <w:rsid w:val="00146AD9"/>
  </w:style>
  <w:style w:type="paragraph" w:styleId="affe">
    <w:name w:val="annotation subject"/>
    <w:basedOn w:val="affb"/>
    <w:next w:val="affb"/>
    <w:link w:val="afff"/>
    <w:uiPriority w:val="99"/>
    <w:semiHidden/>
    <w:unhideWhenUsed/>
    <w:rsid w:val="00B4149C"/>
    <w:rPr>
      <w:b/>
      <w:bCs/>
    </w:rPr>
  </w:style>
  <w:style w:type="character" w:customStyle="1" w:styleId="afff">
    <w:name w:val="Тема примітки Знак"/>
    <w:basedOn w:val="affc"/>
    <w:link w:val="affe"/>
    <w:uiPriority w:val="99"/>
    <w:semiHidden/>
    <w:rsid w:val="00B4149C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D102B7EEC504985243EFB8E78A868" ma:contentTypeVersion="18" ma:contentTypeDescription="Ein neues Dokument erstellen." ma:contentTypeScope="" ma:versionID="a245fb96999f5bfb1ab3a9e3d62d46e0">
  <xsd:schema xmlns:xsd="http://www.w3.org/2001/XMLSchema" xmlns:xs="http://www.w3.org/2001/XMLSchema" xmlns:p="http://schemas.microsoft.com/office/2006/metadata/properties" xmlns:ns2="2ad30e47-8768-4c97-91ed-10f6491f448c" xmlns:ns3="b8e652dc-3caa-4104-8428-1ee82d74519e" targetNamespace="http://schemas.microsoft.com/office/2006/metadata/properties" ma:root="true" ma:fieldsID="e30f30e8268d5f6690017832561e2921" ns2:_="" ns3:_="">
    <xsd:import namespace="2ad30e47-8768-4c97-91ed-10f6491f448c"/>
    <xsd:import namespace="b8e652dc-3caa-4104-8428-1ee82d745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e47-8768-4c97-91ed-10f6491f4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b42da31-f07d-4bc5-921b-0bfb276d6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652dc-3caa-4104-8428-1ee82d745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415211-7908-4ba0-b28b-54e9c6178aa7}" ma:internalName="TaxCatchAll" ma:showField="CatchAllData" ma:web="b8e652dc-3caa-4104-8428-1ee82d745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652dc-3caa-4104-8428-1ee82d74519e" xsi:nil="true"/>
    <Notes xmlns="2ad30e47-8768-4c97-91ed-10f6491f448c" xsi:nil="true"/>
    <lcf76f155ced4ddcb4097134ff3c332f xmlns="2ad30e47-8768-4c97-91ed-10f6491f44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7B9961-FA38-4841-859C-D4E47762B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30e47-8768-4c97-91ed-10f6491f448c"/>
    <ds:schemaRef ds:uri="b8e652dc-3caa-4104-8428-1ee82d745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F7476-0FDA-4D7E-ABA5-66D5D1720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AA026B-B6C9-4752-83B9-C0A8C9A1D4E8}">
  <ds:schemaRefs>
    <ds:schemaRef ds:uri="http://schemas.microsoft.com/office/2006/metadata/properties"/>
    <ds:schemaRef ds:uri="http://schemas.microsoft.com/office/infopath/2007/PartnerControls"/>
    <ds:schemaRef ds:uri="b8e652dc-3caa-4104-8428-1ee82d74519e"/>
    <ds:schemaRef ds:uri="2ad30e47-8768-4c97-91ed-10f6491f4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4677</Words>
  <Characters>2666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Олена Хмелюк</cp:lastModifiedBy>
  <cp:revision>5</cp:revision>
  <dcterms:created xsi:type="dcterms:W3CDTF">2025-09-23T07:15:00Z</dcterms:created>
  <dcterms:modified xsi:type="dcterms:W3CDTF">2025-09-23T08:20:00Z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0x010100777D102B7EEC504985243EFB8E78A868</vt:lpwstr>
  </property>
  <property fmtid="{D5CDD505-2E9C-101B-9397-08002B2CF9AE}" pid="3" name="MediaServiceImageTags">
    <vt:lpwstr/>
  </property>
</Properties>
</file>