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EDDA557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AC1F6F">
        <w:rPr>
          <w:b/>
          <w:sz w:val="22"/>
          <w:szCs w:val="22"/>
          <w:lang w:val="uk-UA"/>
        </w:rPr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AC1F6F">
        <w:rPr>
          <w:b/>
          <w:strike/>
          <w:color w:val="EE0000"/>
          <w:sz w:val="22"/>
          <w:szCs w:val="22"/>
          <w:lang w:val="uk-UA"/>
        </w:rPr>
        <w:t>«</w:t>
      </w:r>
      <w:r w:rsidR="00C001CA" w:rsidRPr="00AC1F6F">
        <w:rPr>
          <w:b/>
          <w:strike/>
          <w:color w:val="EE0000"/>
          <w:sz w:val="22"/>
          <w:szCs w:val="22"/>
          <w:lang w:val="uk-UA"/>
        </w:rPr>
        <w:t>11</w:t>
      </w:r>
      <w:r w:rsidR="005A5F8A" w:rsidRPr="00AC1F6F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C001CA" w:rsidRPr="00AC1F6F">
        <w:rPr>
          <w:b/>
          <w:strike/>
          <w:color w:val="EE0000"/>
          <w:sz w:val="22"/>
          <w:szCs w:val="22"/>
          <w:lang w:val="uk-UA"/>
        </w:rPr>
        <w:t>серпня</w:t>
      </w:r>
      <w:r w:rsidR="005A5F8A" w:rsidRPr="00AC1F6F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C001CA" w:rsidRPr="00AC1F6F">
        <w:rPr>
          <w:b/>
          <w:strike/>
          <w:color w:val="EE0000"/>
          <w:sz w:val="22"/>
          <w:szCs w:val="22"/>
          <w:lang w:val="uk-UA"/>
        </w:rPr>
        <w:t>5</w:t>
      </w:r>
      <w:r w:rsidR="005A5F8A" w:rsidRPr="00AC1F6F">
        <w:rPr>
          <w:b/>
          <w:strike/>
          <w:color w:val="EE0000"/>
          <w:sz w:val="22"/>
          <w:szCs w:val="22"/>
          <w:lang w:val="uk-UA"/>
        </w:rPr>
        <w:t xml:space="preserve"> р.</w:t>
      </w:r>
      <w:r w:rsidR="00AB5249" w:rsidRPr="00AC1F6F">
        <w:rPr>
          <w:b/>
          <w:strike/>
          <w:color w:val="EE0000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 w:rsidRPr="00AC1F6F">
        <w:rPr>
          <w:b/>
          <w:strike/>
          <w:color w:val="EE0000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6135FCC9" w14:textId="5D803EAA" w:rsidR="00AC1F6F" w:rsidRDefault="00AC1F6F" w:rsidP="09C7B284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</w:t>
      </w:r>
      <w:r w:rsidRPr="00A67125">
        <w:rPr>
          <w:b/>
          <w:sz w:val="22"/>
          <w:szCs w:val="22"/>
          <w:lang w:val="uk-UA"/>
        </w:rPr>
        <w:t>«</w:t>
      </w:r>
      <w:r>
        <w:rPr>
          <w:b/>
          <w:sz w:val="22"/>
          <w:szCs w:val="22"/>
          <w:lang w:val="uk-UA"/>
        </w:rPr>
        <w:t>27</w:t>
      </w:r>
      <w:r w:rsidRPr="00A67125">
        <w:rPr>
          <w:b/>
          <w:sz w:val="22"/>
          <w:szCs w:val="22"/>
          <w:lang w:val="uk-UA"/>
        </w:rPr>
        <w:t>» серпня 2025</w:t>
      </w:r>
      <w:r>
        <w:rPr>
          <w:b/>
          <w:sz w:val="22"/>
          <w:szCs w:val="22"/>
          <w:lang w:val="uk-UA"/>
        </w:rPr>
        <w:t xml:space="preserve"> р.</w:t>
      </w:r>
    </w:p>
    <w:p w14:paraId="7B65C476" w14:textId="3331BB4E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443FE5" w:rsidRPr="00443FE5">
        <w:rPr>
          <w:b/>
          <w:bCs/>
          <w:sz w:val="22"/>
          <w:szCs w:val="22"/>
          <w:lang w:val="uk-UA"/>
        </w:rPr>
        <w:t>2132</w:t>
      </w:r>
      <w:r w:rsidR="00443FE5">
        <w:rPr>
          <w:b/>
          <w:bCs/>
          <w:sz w:val="22"/>
          <w:szCs w:val="22"/>
          <w:lang w:val="en-US"/>
        </w:rPr>
        <w:t>LC</w:t>
      </w:r>
      <w:r w:rsidRPr="00443FE5">
        <w:rPr>
          <w:b/>
          <w:bCs/>
          <w:sz w:val="22"/>
          <w:szCs w:val="22"/>
        </w:rPr>
        <w:t xml:space="preserve">  </w:t>
      </w:r>
      <w:r w:rsidRPr="09C7B284">
        <w:rPr>
          <w:b/>
          <w:bCs/>
          <w:sz w:val="22"/>
          <w:szCs w:val="22"/>
        </w:rPr>
        <w:t xml:space="preserve">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4B89AE3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380803">
        <w:rPr>
          <w:spacing w:val="-4"/>
          <w:sz w:val="22"/>
          <w:szCs w:val="22"/>
          <w:lang w:val="uk-UA"/>
        </w:rPr>
        <w:t xml:space="preserve">продовження тендеру </w:t>
      </w:r>
      <w:r w:rsidRPr="000B48D8">
        <w:rPr>
          <w:spacing w:val="-4"/>
          <w:sz w:val="22"/>
          <w:szCs w:val="22"/>
          <w:lang w:val="uk-UA"/>
        </w:rPr>
        <w:t xml:space="preserve">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557DF1">
        <w:rPr>
          <w:spacing w:val="-4"/>
          <w:sz w:val="22"/>
          <w:szCs w:val="22"/>
          <w:lang w:val="uk-UA"/>
        </w:rPr>
        <w:t>послуг аудиту</w:t>
      </w:r>
      <w:r w:rsidR="0068040B">
        <w:rPr>
          <w:spacing w:val="-4"/>
          <w:sz w:val="22"/>
          <w:szCs w:val="22"/>
          <w:lang w:val="uk-UA"/>
        </w:rPr>
        <w:t xml:space="preserve"> витрат обласних організацій ТЧХУ</w:t>
      </w:r>
      <w:r w:rsidR="00391400">
        <w:rPr>
          <w:spacing w:val="-4"/>
          <w:sz w:val="22"/>
          <w:szCs w:val="22"/>
          <w:lang w:val="uk-UA"/>
        </w:rPr>
        <w:t>.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15DB42EA" w:rsidR="001520C0" w:rsidRPr="000B48D8" w:rsidRDefault="00391400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Послуги</w:t>
            </w:r>
            <w:r w:rsidR="0014679F">
              <w:rPr>
                <w:spacing w:val="-6"/>
                <w:sz w:val="22"/>
                <w:szCs w:val="22"/>
                <w:lang w:val="uk-UA"/>
              </w:rPr>
              <w:t xml:space="preserve"> аудиту </w:t>
            </w:r>
            <w:r w:rsidR="002C579B" w:rsidRPr="002C579B">
              <w:rPr>
                <w:spacing w:val="-6"/>
                <w:sz w:val="22"/>
                <w:szCs w:val="22"/>
                <w:lang w:val="uk-UA"/>
              </w:rPr>
              <w:t>у відповідності зі стандартом ISRS 440</w:t>
            </w:r>
            <w:r w:rsidR="002C579B" w:rsidRPr="00D96FD3">
              <w:rPr>
                <w:spacing w:val="-6"/>
                <w:sz w:val="22"/>
                <w:szCs w:val="22"/>
                <w:lang w:val="uk-UA"/>
              </w:rPr>
              <w:t>0</w:t>
            </w:r>
            <w:r w:rsidR="00E9664B" w:rsidRPr="00D96FD3">
              <w:rPr>
                <w:spacing w:val="-6"/>
                <w:sz w:val="22"/>
                <w:szCs w:val="22"/>
                <w:lang w:val="uk-UA"/>
              </w:rPr>
              <w:t xml:space="preserve"> для обласних орга</w:t>
            </w:r>
            <w:r w:rsidR="009631BA" w:rsidRPr="00D96FD3">
              <w:rPr>
                <w:spacing w:val="-6"/>
                <w:sz w:val="22"/>
                <w:szCs w:val="22"/>
                <w:lang w:val="uk-UA"/>
              </w:rPr>
              <w:t>нізацій ТЧХУ</w:t>
            </w:r>
          </w:p>
        </w:tc>
        <w:tc>
          <w:tcPr>
            <w:tcW w:w="2835" w:type="dxa"/>
            <w:vAlign w:val="center"/>
          </w:tcPr>
          <w:p w14:paraId="4F5DE3BC" w14:textId="5DA5E3DE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658D2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6DF60DE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658D2"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  <w:r w:rsidR="00E721B4">
              <w:rPr>
                <w:bCs/>
                <w:spacing w:val="-6"/>
                <w:sz w:val="22"/>
                <w:szCs w:val="22"/>
                <w:lang w:val="uk-UA"/>
              </w:rPr>
              <w:t xml:space="preserve">,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6658D2">
              <w:rPr>
                <w:bCs/>
                <w:spacing w:val="-6"/>
                <w:sz w:val="22"/>
                <w:szCs w:val="22"/>
                <w:lang w:val="uk-UA"/>
              </w:rPr>
              <w:t>2 та Додатку №3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54CE315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5C4346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2F1B507A" w:rsidR="005A5F8A" w:rsidRDefault="002A4557" w:rsidP="005A5F8A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робіт/надання послуг: </w:t>
      </w:r>
      <w:r w:rsidR="00531735">
        <w:rPr>
          <w:bCs/>
          <w:sz w:val="22"/>
          <w:szCs w:val="22"/>
          <w:lang w:val="uk-UA"/>
        </w:rPr>
        <w:t>в період з 15.09.2025 рік по 15.12.2025 рік</w:t>
      </w:r>
    </w:p>
    <w:p w14:paraId="6818E149" w14:textId="299689B5" w:rsidR="00531735" w:rsidRPr="00531735" w:rsidRDefault="00531735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531735">
        <w:rPr>
          <w:b/>
          <w:sz w:val="22"/>
          <w:szCs w:val="22"/>
          <w:lang w:val="uk-UA"/>
        </w:rPr>
        <w:t>Фінальний звіт потрібно надати до 31.12.2025 року.</w:t>
      </w:r>
    </w:p>
    <w:p w14:paraId="2189EAC6" w14:textId="2B634BC2" w:rsidR="000A7594" w:rsidRDefault="005A5F8A" w:rsidP="00777C00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966763" w:rsidRPr="008215FB">
        <w:rPr>
          <w:bCs/>
          <w:sz w:val="22"/>
          <w:szCs w:val="22"/>
          <w:lang w:val="uk-UA"/>
        </w:rPr>
        <w:t>м.</w:t>
      </w:r>
      <w:r w:rsidR="00B1063B">
        <w:rPr>
          <w:bCs/>
          <w:sz w:val="22"/>
          <w:szCs w:val="22"/>
          <w:lang w:val="uk-UA"/>
        </w:rPr>
        <w:t xml:space="preserve"> </w:t>
      </w:r>
      <w:r w:rsidR="008215FB" w:rsidRPr="008215FB">
        <w:rPr>
          <w:bCs/>
          <w:sz w:val="22"/>
          <w:szCs w:val="22"/>
          <w:lang w:val="uk-UA"/>
        </w:rPr>
        <w:t>Дніпро, м.</w:t>
      </w:r>
      <w:r w:rsidR="00B1063B">
        <w:rPr>
          <w:bCs/>
          <w:sz w:val="22"/>
          <w:szCs w:val="22"/>
          <w:lang w:val="uk-UA"/>
        </w:rPr>
        <w:t xml:space="preserve"> </w:t>
      </w:r>
      <w:r w:rsidR="008215FB" w:rsidRPr="008215FB">
        <w:rPr>
          <w:bCs/>
          <w:sz w:val="22"/>
          <w:szCs w:val="22"/>
          <w:lang w:val="uk-UA"/>
        </w:rPr>
        <w:t>Миколаїв, м. Харків</w:t>
      </w:r>
      <w:r w:rsidR="008215FB">
        <w:rPr>
          <w:bCs/>
          <w:sz w:val="22"/>
          <w:szCs w:val="22"/>
          <w:lang w:val="uk-UA"/>
        </w:rPr>
        <w:t xml:space="preserve"> (точні адреси будуть надані </w:t>
      </w:r>
      <w:r w:rsidR="00C319BD">
        <w:rPr>
          <w:bCs/>
          <w:sz w:val="22"/>
          <w:szCs w:val="22"/>
          <w:lang w:val="uk-UA"/>
        </w:rPr>
        <w:t>П</w:t>
      </w:r>
      <w:r w:rsidR="008215FB">
        <w:rPr>
          <w:bCs/>
          <w:sz w:val="22"/>
          <w:szCs w:val="22"/>
          <w:lang w:val="uk-UA"/>
        </w:rPr>
        <w:t>ереможцю закупівлі).</w:t>
      </w:r>
    </w:p>
    <w:p w14:paraId="4FAD4996" w14:textId="0130B9A4" w:rsidR="008215FB" w:rsidRPr="008215FB" w:rsidRDefault="008215FB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8215FB">
        <w:rPr>
          <w:b/>
          <w:sz w:val="22"/>
          <w:szCs w:val="22"/>
          <w:lang w:val="uk-UA"/>
        </w:rPr>
        <w:t>Місце знаходження Замовника:</w:t>
      </w:r>
      <w:r w:rsidRPr="008215FB">
        <w:rPr>
          <w:bCs/>
          <w:sz w:val="22"/>
          <w:szCs w:val="22"/>
          <w:lang w:val="uk-UA"/>
        </w:rPr>
        <w:t xml:space="preserve"> м.</w:t>
      </w:r>
      <w:r>
        <w:rPr>
          <w:bCs/>
          <w:sz w:val="22"/>
          <w:szCs w:val="22"/>
          <w:lang w:val="uk-UA"/>
        </w:rPr>
        <w:t xml:space="preserve"> </w:t>
      </w:r>
      <w:r w:rsidRPr="008215FB">
        <w:rPr>
          <w:bCs/>
          <w:sz w:val="22"/>
          <w:szCs w:val="22"/>
          <w:lang w:val="uk-UA"/>
        </w:rPr>
        <w:t>Київ.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684931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684931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1F89CD6D" w14:textId="1F315177" w:rsidR="00BC13F3" w:rsidRPr="00DC5E81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</w:tcPr>
          <w:p w14:paraId="1F799959" w14:textId="0483CB56" w:rsidR="0063537D" w:rsidRPr="00DC5E81" w:rsidRDefault="0032516A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повинен надати гарантійний лист або інший документ</w:t>
            </w:r>
            <w:r w:rsidR="00831C63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посиланням</w:t>
            </w: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що підтверджує його входження (членство) до складу міжнародної мережі аудиторських фірм, яка займає </w:t>
            </w:r>
            <w:r w:rsidRPr="00DC5E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позицію в топ-10</w:t>
            </w: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міжнародного рейтингу Top 50+50 </w:t>
            </w:r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Accountancy Firms 2024 (</w:t>
            </w:r>
            <w:hyperlink r:id="rId11" w:history="1">
              <w:r w:rsidR="00711321" w:rsidRPr="00DC5E81">
                <w:rPr>
                  <w:rStyle w:val="ab"/>
                  <w:rFonts w:ascii="Times New Roman" w:hAnsi="Times New Roman"/>
                  <w:sz w:val="22"/>
                  <w:szCs w:val="22"/>
                  <w:lang w:val="uk-UA"/>
                </w:rPr>
                <w:t>https://www.accountancyage.com/rankings/top-5050-accountancy-firms-2024/</w:t>
              </w:r>
            </w:hyperlink>
            <w:r w:rsidR="00B244B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</w:t>
            </w:r>
            <w:r w:rsidR="00711321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;</w:t>
            </w:r>
          </w:p>
          <w:p w14:paraId="3A51187A" w14:textId="4AC12018" w:rsidR="00711321" w:rsidRPr="00DC5E81" w:rsidRDefault="00FE7225" w:rsidP="00DC5E8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Витяг з Реєстру аудиторів та суб’єктів аудиторської діяльності отриманий у поточному місяці;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684931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B903C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00C6ACFB" w:rsidR="005C33EB" w:rsidRPr="00DC5E8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</w:tcPr>
          <w:p w14:paraId="70B8F3F7" w14:textId="349F3E42" w:rsidR="005C33EB" w:rsidRPr="00DC5E8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DC5E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роки. </w:t>
            </w:r>
          </w:p>
        </w:tc>
      </w:tr>
      <w:tr w:rsidR="009B6E0B" w:rsidRPr="00684931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9B6E0B" w:rsidRPr="00BC13F3" w:rsidRDefault="009B6E0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 w:val="restart"/>
          </w:tcPr>
          <w:p w14:paraId="223C38EC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3DCAC19E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3FA2D87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52BAA0D4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3650AB4D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58A00AA2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2E034B40" w14:textId="77777777" w:rsidR="00314A5B" w:rsidRPr="00DC5E81" w:rsidRDefault="00314A5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5C3317AD" w14:textId="223E0A44" w:rsidR="009B6E0B" w:rsidRPr="00DC5E81" w:rsidRDefault="0072611E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9B6E0B"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окументи що підтверджують професійну репутацію Учасника та професійний досвід фахівців Учасника</w:t>
            </w:r>
          </w:p>
        </w:tc>
        <w:tc>
          <w:tcPr>
            <w:tcW w:w="4521" w:type="dxa"/>
          </w:tcPr>
          <w:p w14:paraId="7FCD2231" w14:textId="5E77724F" w:rsidR="009B6E0B" w:rsidRPr="00DC5E81" w:rsidRDefault="009B6E0B" w:rsidP="00B903C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Надати гарантійний лист, що </w:t>
            </w:r>
            <w:r w:rsidR="0032705B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гарантує</w:t>
            </w:r>
            <w:r w:rsidRPr="00DC5E8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відсутність притягнення до професійної відповідальності та застосування стягнень до суб'єкта аудиторської діяльності, його посадових осіб, ключових партнерів, членів групи з виконання завдання протягом останніх 2-х років;</w:t>
            </w:r>
          </w:p>
        </w:tc>
      </w:tr>
      <w:tr w:rsidR="009B6E0B" w:rsidRPr="00684931" w14:paraId="3CE599E7" w14:textId="77777777" w:rsidTr="00605C06">
        <w:trPr>
          <w:trHeight w:val="96"/>
        </w:trPr>
        <w:tc>
          <w:tcPr>
            <w:tcW w:w="601" w:type="dxa"/>
          </w:tcPr>
          <w:p w14:paraId="35064C4F" w14:textId="77777777" w:rsidR="009B6E0B" w:rsidRPr="00BC13F3" w:rsidRDefault="009B6E0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/>
          </w:tcPr>
          <w:p w14:paraId="4DAA3A41" w14:textId="77777777" w:rsidR="009B6E0B" w:rsidRPr="00B66F65" w:rsidRDefault="009B6E0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521" w:type="dxa"/>
          </w:tcPr>
          <w:p w14:paraId="7608A6E2" w14:textId="77374F67" w:rsidR="0066545E" w:rsidRPr="0066545E" w:rsidRDefault="0066545E" w:rsidP="0066545E">
            <w:pPr>
              <w:pStyle w:val="aa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</w:t>
            </w: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адати резюме команди Учасника із зазначенням:</w:t>
            </w:r>
          </w:p>
          <w:p w14:paraId="44F71154" w14:textId="77777777" w:rsidR="0066545E" w:rsidRPr="0066545E" w:rsidRDefault="0066545E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ПІБ кожного фахівця;</w:t>
            </w:r>
          </w:p>
          <w:p w14:paraId="5560ACA4" w14:textId="77777777" w:rsidR="0066545E" w:rsidRPr="0066545E" w:rsidRDefault="0066545E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займаної посади;</w:t>
            </w:r>
          </w:p>
          <w:p w14:paraId="78CBE358" w14:textId="77777777" w:rsidR="0066545E" w:rsidRDefault="0066545E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545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номера в Реєстрі ОСНАД;</w:t>
            </w:r>
          </w:p>
          <w:p w14:paraId="0C658E84" w14:textId="62CF2A28" w:rsidR="0066545E" w:rsidRPr="0066545E" w:rsidRDefault="00781E33" w:rsidP="0066545E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81E3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чинних сертифікатів (дипломів) професійних організацій, що підтверджують членство щонайменше в одній з таких міжнародних організацій: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CB08F0" w:rsidRPr="00CB08F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Асоціація присяжних сертифікованих бухгалтерів (ACCA)</w:t>
            </w:r>
            <w:r w:rsidR="00CB08F0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або </w:t>
            </w:r>
            <w:r w:rsidR="00F22ADC" w:rsidRPr="0068493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Американський інститут сертифікованих громадських бухгалтерів (</w:t>
            </w:r>
            <w:r w:rsidR="00F22ADC" w:rsidRPr="00F22A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AICPA</w:t>
            </w:r>
            <w:r w:rsidR="00F22ADC" w:rsidRPr="0068493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)</w:t>
            </w:r>
            <w:r w:rsidR="00F22ADC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або </w:t>
            </w:r>
            <w:r w:rsidR="004C7464" w:rsidRPr="0068493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Інститут присяжних бухгалтерів Англії і Уельсу (</w:t>
            </w:r>
            <w:r w:rsidR="004C7464" w:rsidRPr="004C74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ICAEW</w:t>
            </w:r>
            <w:r w:rsidR="004C7464" w:rsidRPr="0068493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).</w:t>
            </w:r>
          </w:p>
          <w:p w14:paraId="1689BB5D" w14:textId="45094DD2" w:rsidR="009B6E0B" w:rsidRPr="00AF04CB" w:rsidRDefault="009B6E0B" w:rsidP="00DC69CF">
            <w:pPr>
              <w:pStyle w:val="aa"/>
              <w:ind w:left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F04C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Учасник має підтвердити наявність не менше 25 </w:t>
            </w:r>
            <w:r w:rsidR="000D5AD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відповідних фахівців</w:t>
            </w:r>
            <w:r w:rsidR="00D748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; </w:t>
            </w:r>
            <w:r w:rsidR="003E23F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та </w:t>
            </w:r>
            <w:r w:rsidR="00D7482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не менше чот</w:t>
            </w:r>
            <w:r w:rsidR="001A592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ирьох фахівців обов’язково повинні мати </w:t>
            </w:r>
            <w:r w:rsidR="0038016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хоча б один із зазначених  сертифікатів або дипломів. </w:t>
            </w:r>
          </w:p>
        </w:tc>
      </w:tr>
      <w:tr w:rsidR="00687187" w:rsidRPr="00557A29" w14:paraId="0A42E96C" w14:textId="77777777" w:rsidTr="00605C06">
        <w:trPr>
          <w:trHeight w:val="96"/>
        </w:trPr>
        <w:tc>
          <w:tcPr>
            <w:tcW w:w="601" w:type="dxa"/>
          </w:tcPr>
          <w:p w14:paraId="26DB1EA2" w14:textId="77777777" w:rsidR="00687187" w:rsidRPr="00BC13F3" w:rsidRDefault="00687187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BE748B1" w14:textId="77777777" w:rsidR="00687187" w:rsidRPr="00DC5E81" w:rsidRDefault="00EC785E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Аудит має бути проведений </w:t>
            </w:r>
            <w:r w:rsidR="001E4DBB"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 відповідності до вимог Технічного завдання згідно Додатку 2 та умов тендерної пропозиції згідно Додатку №3.</w:t>
            </w:r>
          </w:p>
          <w:p w14:paraId="41907C8D" w14:textId="77777777" w:rsidR="001E4DBB" w:rsidRPr="00DC5E81" w:rsidRDefault="001E4DBB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002D67A8" w14:textId="77777777" w:rsidR="001E4DBB" w:rsidRPr="00DC5E81" w:rsidRDefault="000355A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Звіти подаються на паперовому та електронному носії (за потреби).</w:t>
            </w:r>
          </w:p>
          <w:p w14:paraId="18329325" w14:textId="77777777" w:rsidR="000355AA" w:rsidRPr="00DC5E81" w:rsidRDefault="000355A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3F32FE13" w14:textId="0ADDB7F9" w:rsidR="000355AA" w:rsidRPr="00B66F65" w:rsidRDefault="000355AA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C5E8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Звіти мають бути двомовними: українською та англійською мовами.</w:t>
            </w:r>
          </w:p>
        </w:tc>
        <w:tc>
          <w:tcPr>
            <w:tcW w:w="4521" w:type="dxa"/>
          </w:tcPr>
          <w:p w14:paraId="2249F4D9" w14:textId="07DFE669" w:rsidR="00687187" w:rsidRPr="00AF04CB" w:rsidRDefault="000355AA" w:rsidP="00B903C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F04CB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Надати гарантійний лис</w:t>
            </w:r>
            <w:r w:rsidR="00D85FE0" w:rsidRPr="00AF04CB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 на бланку Учасника щодо виконання вимог.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C7592A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8A232F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7CBAF60C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7637D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 підпису акту наданих пос</w:t>
      </w:r>
      <w:r w:rsidR="007637DF">
        <w:rPr>
          <w:sz w:val="22"/>
          <w:szCs w:val="22"/>
          <w:lang w:val="uk-UA"/>
        </w:rPr>
        <w:t>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3B2716">
        <w:rPr>
          <w:sz w:val="22"/>
          <w:szCs w:val="22"/>
          <w:lang w:val="uk-UA"/>
        </w:rPr>
        <w:t xml:space="preserve">в Додатку </w:t>
      </w:r>
      <w:r w:rsidR="0044278A" w:rsidRPr="003B2716">
        <w:rPr>
          <w:sz w:val="22"/>
          <w:szCs w:val="22"/>
          <w:lang w:val="uk-UA"/>
        </w:rPr>
        <w:t>3</w:t>
      </w:r>
      <w:r w:rsidRPr="003B2716">
        <w:rPr>
          <w:sz w:val="22"/>
          <w:szCs w:val="22"/>
          <w:lang w:val="uk-UA"/>
        </w:rPr>
        <w:t xml:space="preserve">. </w:t>
      </w:r>
      <w:r w:rsidRPr="003B2716">
        <w:rPr>
          <w:rFonts w:eastAsia="Arial Unicode MS"/>
          <w:noProof/>
          <w:sz w:val="22"/>
          <w:szCs w:val="22"/>
        </w:rPr>
        <w:t>Згідно</w:t>
      </w:r>
      <w:r w:rsidRPr="00CA618B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28E63C0A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44278A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72956136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871D90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838AE31" w14:textId="1583A769" w:rsidR="00BF05FB" w:rsidRDefault="00BF05FB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Узгоджене технічне завдання згідно Додатку №2 до Запиту;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5BFBBC4" w:rsidR="007545FF" w:rsidRPr="00A67125" w:rsidRDefault="1327F54A" w:rsidP="1327F54A">
      <w:pPr>
        <w:ind w:firstLine="357"/>
        <w:jc w:val="both"/>
        <w:rPr>
          <w:sz w:val="22"/>
          <w:szCs w:val="22"/>
        </w:rPr>
      </w:pPr>
      <w:r w:rsidRPr="1327F54A">
        <w:rPr>
          <w:sz w:val="22"/>
          <w:szCs w:val="22"/>
        </w:rPr>
        <w:t xml:space="preserve">Запитання щодо </w:t>
      </w:r>
      <w:r w:rsidR="00B93C90">
        <w:rPr>
          <w:sz w:val="22"/>
          <w:szCs w:val="22"/>
          <w:lang w:val="uk-UA"/>
        </w:rPr>
        <w:t xml:space="preserve">цінової </w:t>
      </w:r>
      <w:r w:rsidRPr="1327F54A">
        <w:rPr>
          <w:sz w:val="22"/>
          <w:szCs w:val="22"/>
        </w:rPr>
        <w:t xml:space="preserve">пропозиції надсилайте на адресу: </w:t>
      </w:r>
      <w:hyperlink r:id="rId12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8A76FC" w:rsidRPr="00AC1F6F">
        <w:rPr>
          <w:strike/>
          <w:color w:val="EE0000"/>
          <w:sz w:val="22"/>
          <w:szCs w:val="22"/>
          <w:lang w:val="uk-UA"/>
        </w:rPr>
        <w:t>25</w:t>
      </w:r>
      <w:r w:rsidRPr="00AC1F6F">
        <w:rPr>
          <w:strike/>
          <w:color w:val="EE0000"/>
          <w:sz w:val="22"/>
          <w:szCs w:val="22"/>
        </w:rPr>
        <w:t>.</w:t>
      </w:r>
      <w:r w:rsidR="008A76FC" w:rsidRPr="00AC1F6F">
        <w:rPr>
          <w:strike/>
          <w:color w:val="EE0000"/>
          <w:sz w:val="22"/>
          <w:szCs w:val="22"/>
          <w:lang w:val="uk-UA"/>
        </w:rPr>
        <w:t>08</w:t>
      </w:r>
      <w:r w:rsidRPr="00AC1F6F">
        <w:rPr>
          <w:strike/>
          <w:color w:val="EE0000"/>
          <w:sz w:val="22"/>
          <w:szCs w:val="22"/>
        </w:rPr>
        <w:t>.202</w:t>
      </w:r>
      <w:r w:rsidR="00073974" w:rsidRPr="00AC1F6F">
        <w:rPr>
          <w:strike/>
          <w:color w:val="EE0000"/>
          <w:sz w:val="22"/>
          <w:szCs w:val="22"/>
          <w:lang w:val="uk-UA"/>
        </w:rPr>
        <w:t>5</w:t>
      </w:r>
      <w:r w:rsidRPr="00AC1F6F">
        <w:rPr>
          <w:strike/>
          <w:color w:val="EE0000"/>
          <w:sz w:val="22"/>
          <w:szCs w:val="22"/>
        </w:rPr>
        <w:t xml:space="preserve"> </w:t>
      </w:r>
      <w:r w:rsidR="00AC1F6F" w:rsidRPr="00AC1F6F">
        <w:rPr>
          <w:sz w:val="22"/>
          <w:szCs w:val="22"/>
          <w:lang w:val="uk-UA"/>
        </w:rPr>
        <w:t xml:space="preserve">  </w:t>
      </w:r>
      <w:r w:rsidR="00AC1F6F">
        <w:rPr>
          <w:sz w:val="22"/>
          <w:szCs w:val="22"/>
          <w:lang w:val="uk-UA"/>
        </w:rPr>
        <w:t>01</w:t>
      </w:r>
      <w:r w:rsidR="00AC1F6F" w:rsidRPr="00A67125">
        <w:rPr>
          <w:sz w:val="22"/>
          <w:szCs w:val="22"/>
        </w:rPr>
        <w:t>.</w:t>
      </w:r>
      <w:r w:rsidR="00AC1F6F" w:rsidRPr="00A67125">
        <w:rPr>
          <w:sz w:val="22"/>
          <w:szCs w:val="22"/>
          <w:lang w:val="uk-UA"/>
        </w:rPr>
        <w:t>0</w:t>
      </w:r>
      <w:r w:rsidR="00AC1F6F">
        <w:rPr>
          <w:sz w:val="22"/>
          <w:szCs w:val="22"/>
          <w:lang w:val="uk-UA"/>
        </w:rPr>
        <w:t>9</w:t>
      </w:r>
      <w:r w:rsidR="00AC1F6F" w:rsidRPr="00A67125">
        <w:rPr>
          <w:sz w:val="22"/>
          <w:szCs w:val="22"/>
        </w:rPr>
        <w:t>.202</w:t>
      </w:r>
      <w:r w:rsidR="00AC1F6F" w:rsidRPr="00A67125">
        <w:rPr>
          <w:sz w:val="22"/>
          <w:szCs w:val="22"/>
          <w:lang w:val="uk-UA"/>
        </w:rPr>
        <w:t>5</w:t>
      </w:r>
      <w:r w:rsidR="00AC1F6F" w:rsidRPr="00A67125">
        <w:rPr>
          <w:sz w:val="22"/>
          <w:szCs w:val="22"/>
        </w:rPr>
        <w:t xml:space="preserve"> року</w:t>
      </w:r>
      <w:r w:rsidRPr="00A67125">
        <w:rPr>
          <w:sz w:val="22"/>
          <w:szCs w:val="22"/>
        </w:rPr>
        <w:t>.</w:t>
      </w:r>
    </w:p>
    <w:p w14:paraId="5F7E7F29" w14:textId="77777777" w:rsidR="00AD6D3B" w:rsidRPr="00A67125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A67125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A67125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A67125">
        <w:rPr>
          <w:b/>
          <w:sz w:val="22"/>
          <w:szCs w:val="22"/>
          <w:lang w:val="uk-UA"/>
        </w:rPr>
        <w:t>ЦІНОВИХ</w:t>
      </w:r>
      <w:r w:rsidRPr="00A67125">
        <w:rPr>
          <w:b/>
          <w:sz w:val="22"/>
          <w:szCs w:val="22"/>
          <w:lang w:val="uk-UA"/>
        </w:rPr>
        <w:t xml:space="preserve"> ПРОПОЗИЦІЙ</w:t>
      </w:r>
      <w:r w:rsidRPr="00A67125">
        <w:rPr>
          <w:sz w:val="22"/>
          <w:szCs w:val="22"/>
          <w:lang w:val="uk-UA"/>
        </w:rPr>
        <w:t xml:space="preserve"> від учасників: </w:t>
      </w:r>
    </w:p>
    <w:p w14:paraId="3E886E94" w14:textId="6975A9DE" w:rsidR="00AD6D3B" w:rsidRPr="00A67125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A67125">
        <w:rPr>
          <w:b/>
          <w:color w:val="FF0000"/>
          <w:sz w:val="22"/>
          <w:szCs w:val="22"/>
          <w:lang w:val="uk-UA"/>
        </w:rPr>
        <w:t xml:space="preserve"> </w:t>
      </w:r>
      <w:r w:rsidRPr="00AC1F6F">
        <w:rPr>
          <w:b/>
          <w:strike/>
          <w:color w:val="EE0000"/>
          <w:sz w:val="22"/>
          <w:szCs w:val="22"/>
          <w:lang w:val="uk-UA"/>
        </w:rPr>
        <w:t>«</w:t>
      </w:r>
      <w:r w:rsidR="008A76FC" w:rsidRPr="00AC1F6F">
        <w:rPr>
          <w:b/>
          <w:strike/>
          <w:color w:val="EE0000"/>
          <w:sz w:val="22"/>
          <w:szCs w:val="22"/>
          <w:lang w:val="uk-UA"/>
        </w:rPr>
        <w:t>26</w:t>
      </w:r>
      <w:r w:rsidRPr="00AC1F6F">
        <w:rPr>
          <w:b/>
          <w:strike/>
          <w:color w:val="EE0000"/>
          <w:sz w:val="22"/>
          <w:szCs w:val="22"/>
          <w:lang w:val="uk-UA"/>
        </w:rPr>
        <w:t xml:space="preserve">» </w:t>
      </w:r>
      <w:r w:rsidR="008A76FC" w:rsidRPr="00AC1F6F">
        <w:rPr>
          <w:b/>
          <w:strike/>
          <w:color w:val="EE0000"/>
          <w:sz w:val="22"/>
          <w:szCs w:val="22"/>
          <w:lang w:val="uk-UA"/>
        </w:rPr>
        <w:t>серпня</w:t>
      </w:r>
      <w:r w:rsidRPr="00AC1F6F">
        <w:rPr>
          <w:b/>
          <w:strike/>
          <w:color w:val="EE0000"/>
          <w:sz w:val="22"/>
          <w:szCs w:val="22"/>
          <w:lang w:val="uk-UA"/>
        </w:rPr>
        <w:t xml:space="preserve"> 202</w:t>
      </w:r>
      <w:r w:rsidR="00073974" w:rsidRPr="00AC1F6F">
        <w:rPr>
          <w:b/>
          <w:strike/>
          <w:color w:val="EE0000"/>
          <w:sz w:val="22"/>
          <w:szCs w:val="22"/>
          <w:lang w:val="uk-UA"/>
        </w:rPr>
        <w:t>5</w:t>
      </w:r>
      <w:r w:rsidRPr="00AC1F6F">
        <w:rPr>
          <w:b/>
          <w:strike/>
          <w:color w:val="EE0000"/>
          <w:sz w:val="22"/>
          <w:szCs w:val="22"/>
          <w:lang w:val="uk-UA"/>
        </w:rPr>
        <w:t xml:space="preserve"> рок</w:t>
      </w:r>
      <w:r w:rsidR="00570092" w:rsidRPr="00AC1F6F">
        <w:rPr>
          <w:b/>
          <w:strike/>
          <w:color w:val="EE0000"/>
          <w:sz w:val="22"/>
          <w:szCs w:val="22"/>
          <w:lang w:val="uk-UA"/>
        </w:rPr>
        <w:t>у</w:t>
      </w:r>
      <w:r w:rsidR="00AC1F6F" w:rsidRPr="00AC1F6F">
        <w:rPr>
          <w:b/>
          <w:color w:val="EE0000"/>
          <w:sz w:val="22"/>
          <w:szCs w:val="22"/>
          <w:lang w:val="uk-UA"/>
        </w:rPr>
        <w:t xml:space="preserve">   </w:t>
      </w:r>
      <w:r w:rsidR="00AC1F6F" w:rsidRPr="00A67125">
        <w:rPr>
          <w:b/>
          <w:sz w:val="22"/>
          <w:szCs w:val="22"/>
          <w:lang w:val="uk-UA"/>
        </w:rPr>
        <w:t>«</w:t>
      </w:r>
      <w:r w:rsidR="00AC1F6F">
        <w:rPr>
          <w:b/>
          <w:sz w:val="22"/>
          <w:szCs w:val="22"/>
          <w:lang w:val="uk-UA"/>
        </w:rPr>
        <w:t>02</w:t>
      </w:r>
      <w:r w:rsidR="00AC1F6F" w:rsidRPr="00A67125">
        <w:rPr>
          <w:b/>
          <w:sz w:val="22"/>
          <w:szCs w:val="22"/>
          <w:lang w:val="uk-UA"/>
        </w:rPr>
        <w:t xml:space="preserve">» </w:t>
      </w:r>
      <w:r w:rsidR="00AC1F6F">
        <w:rPr>
          <w:b/>
          <w:sz w:val="22"/>
          <w:szCs w:val="22"/>
          <w:lang w:val="uk-UA"/>
        </w:rPr>
        <w:t>вересня</w:t>
      </w:r>
      <w:r w:rsidR="00AC1F6F" w:rsidRPr="00A67125">
        <w:rPr>
          <w:b/>
          <w:sz w:val="22"/>
          <w:szCs w:val="22"/>
          <w:lang w:val="uk-UA"/>
        </w:rPr>
        <w:t xml:space="preserve"> 2025 року</w:t>
      </w:r>
      <w:r w:rsidRPr="00A67125">
        <w:rPr>
          <w:b/>
          <w:sz w:val="22"/>
          <w:szCs w:val="22"/>
          <w:lang w:val="uk-UA"/>
        </w:rPr>
        <w:t>.</w:t>
      </w:r>
    </w:p>
    <w:p w14:paraId="13070A45" w14:textId="77777777" w:rsidR="00AD6D3B" w:rsidRPr="00A67125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A67125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A67125">
        <w:rPr>
          <w:b/>
          <w:sz w:val="22"/>
          <w:szCs w:val="22"/>
          <w:u w:val="single"/>
          <w:lang w:val="uk-UA"/>
        </w:rPr>
        <w:t>ЦІНОВІ</w:t>
      </w:r>
      <w:r w:rsidR="00E27AFC" w:rsidRPr="00A67125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A67125" w:rsidRDefault="00E27AFC" w:rsidP="00E27AFC">
      <w:pPr>
        <w:ind w:firstLine="357"/>
        <w:jc w:val="both"/>
        <w:rPr>
          <w:b/>
          <w:bCs/>
        </w:rPr>
      </w:pPr>
      <w:hyperlink r:id="rId13" w:history="1">
        <w:r w:rsidRPr="00A67125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A67125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A67125" w:rsidRDefault="00E27AFC" w:rsidP="00E27AFC">
      <w:pPr>
        <w:ind w:firstLine="357"/>
        <w:jc w:val="both"/>
        <w:rPr>
          <w:sz w:val="22"/>
          <w:szCs w:val="22"/>
        </w:rPr>
      </w:pPr>
      <w:r w:rsidRPr="00A67125">
        <w:rPr>
          <w:b/>
          <w:bCs/>
          <w:iCs/>
          <w:sz w:val="22"/>
          <w:szCs w:val="22"/>
        </w:rPr>
        <w:t xml:space="preserve">РОЗКРИТТЯ </w:t>
      </w:r>
      <w:r w:rsidR="00345379" w:rsidRPr="00A67125">
        <w:rPr>
          <w:b/>
          <w:bCs/>
          <w:iCs/>
          <w:sz w:val="22"/>
          <w:szCs w:val="22"/>
          <w:lang w:val="uk-UA"/>
        </w:rPr>
        <w:t>ЦІНОВ</w:t>
      </w:r>
      <w:r w:rsidR="00D53B41" w:rsidRPr="00A67125">
        <w:rPr>
          <w:b/>
          <w:bCs/>
          <w:iCs/>
          <w:sz w:val="22"/>
          <w:szCs w:val="22"/>
          <w:lang w:val="uk-UA"/>
        </w:rPr>
        <w:t>ИХ</w:t>
      </w:r>
      <w:r w:rsidRPr="00A67125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A67125">
        <w:rPr>
          <w:sz w:val="22"/>
          <w:szCs w:val="22"/>
        </w:rPr>
        <w:t>:</w:t>
      </w:r>
    </w:p>
    <w:p w14:paraId="6AE3C48E" w14:textId="5736830F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A67125">
        <w:rPr>
          <w:sz w:val="22"/>
          <w:szCs w:val="22"/>
        </w:rPr>
        <w:t xml:space="preserve"> </w:t>
      </w:r>
      <w:r w:rsidRPr="00AC1F6F">
        <w:rPr>
          <w:b/>
          <w:strike/>
          <w:color w:val="EE0000"/>
          <w:sz w:val="22"/>
          <w:szCs w:val="22"/>
        </w:rPr>
        <w:t>«</w:t>
      </w:r>
      <w:r w:rsidR="008A76FC" w:rsidRPr="00AC1F6F">
        <w:rPr>
          <w:b/>
          <w:strike/>
          <w:color w:val="EE0000"/>
          <w:sz w:val="22"/>
          <w:szCs w:val="22"/>
          <w:lang w:val="uk-UA"/>
        </w:rPr>
        <w:t>27</w:t>
      </w:r>
      <w:r w:rsidRPr="00AC1F6F">
        <w:rPr>
          <w:b/>
          <w:strike/>
          <w:color w:val="EE0000"/>
          <w:sz w:val="22"/>
          <w:szCs w:val="22"/>
        </w:rPr>
        <w:t xml:space="preserve">» </w:t>
      </w:r>
      <w:r w:rsidR="008A76FC" w:rsidRPr="00AC1F6F">
        <w:rPr>
          <w:b/>
          <w:strike/>
          <w:color w:val="EE0000"/>
          <w:sz w:val="22"/>
          <w:szCs w:val="22"/>
          <w:lang w:val="uk-UA"/>
        </w:rPr>
        <w:t>серпня</w:t>
      </w:r>
      <w:r w:rsidRPr="00AC1F6F">
        <w:rPr>
          <w:b/>
          <w:strike/>
          <w:color w:val="EE0000"/>
          <w:sz w:val="22"/>
          <w:szCs w:val="22"/>
        </w:rPr>
        <w:t xml:space="preserve"> 202</w:t>
      </w:r>
      <w:r w:rsidR="00073974" w:rsidRPr="00AC1F6F">
        <w:rPr>
          <w:b/>
          <w:strike/>
          <w:color w:val="EE0000"/>
          <w:sz w:val="22"/>
          <w:szCs w:val="22"/>
          <w:lang w:val="uk-UA"/>
        </w:rPr>
        <w:t>5</w:t>
      </w:r>
      <w:r w:rsidRPr="00AC1F6F">
        <w:rPr>
          <w:b/>
          <w:strike/>
          <w:color w:val="EE0000"/>
          <w:sz w:val="22"/>
          <w:szCs w:val="22"/>
        </w:rPr>
        <w:t xml:space="preserve"> року</w:t>
      </w:r>
      <w:r w:rsidRPr="00AC1F6F">
        <w:rPr>
          <w:color w:val="EE0000"/>
          <w:sz w:val="22"/>
          <w:szCs w:val="22"/>
        </w:rPr>
        <w:t xml:space="preserve">  </w:t>
      </w:r>
      <w:r w:rsidR="00AC1F6F" w:rsidRPr="00AC1F6F">
        <w:rPr>
          <w:color w:val="EE0000"/>
          <w:sz w:val="22"/>
          <w:szCs w:val="22"/>
        </w:rPr>
        <w:t xml:space="preserve"> </w:t>
      </w:r>
      <w:r w:rsidR="00AC1F6F" w:rsidRPr="00A67125">
        <w:rPr>
          <w:b/>
          <w:sz w:val="22"/>
          <w:szCs w:val="22"/>
        </w:rPr>
        <w:t>«</w:t>
      </w:r>
      <w:r w:rsidR="00AC1F6F">
        <w:rPr>
          <w:b/>
          <w:sz w:val="22"/>
          <w:szCs w:val="22"/>
          <w:lang w:val="uk-UA"/>
        </w:rPr>
        <w:t>03</w:t>
      </w:r>
      <w:r w:rsidR="00AC1F6F" w:rsidRPr="00A67125">
        <w:rPr>
          <w:b/>
          <w:sz w:val="22"/>
          <w:szCs w:val="22"/>
        </w:rPr>
        <w:t xml:space="preserve">» </w:t>
      </w:r>
      <w:r w:rsidR="00AC1F6F">
        <w:rPr>
          <w:b/>
          <w:sz w:val="22"/>
          <w:szCs w:val="22"/>
          <w:lang w:val="uk-UA"/>
        </w:rPr>
        <w:t>вересня</w:t>
      </w:r>
      <w:r w:rsidR="00AC1F6F" w:rsidRPr="00A67125">
        <w:rPr>
          <w:b/>
          <w:sz w:val="22"/>
          <w:szCs w:val="22"/>
        </w:rPr>
        <w:t xml:space="preserve"> 202</w:t>
      </w:r>
      <w:r w:rsidR="00AC1F6F" w:rsidRPr="00A67125">
        <w:rPr>
          <w:b/>
          <w:sz w:val="22"/>
          <w:szCs w:val="22"/>
          <w:lang w:val="uk-UA"/>
        </w:rPr>
        <w:t>5</w:t>
      </w:r>
      <w:r w:rsidR="00AC1F6F" w:rsidRPr="00A67125">
        <w:rPr>
          <w:b/>
          <w:sz w:val="22"/>
          <w:szCs w:val="22"/>
        </w:rPr>
        <w:t xml:space="preserve"> року</w:t>
      </w:r>
      <w:r w:rsidR="00AC1F6F" w:rsidRPr="00A67125">
        <w:rPr>
          <w:sz w:val="22"/>
          <w:szCs w:val="22"/>
        </w:rPr>
        <w:t xml:space="preserve">  </w:t>
      </w:r>
      <w:r w:rsidRPr="00A67125">
        <w:rPr>
          <w:sz w:val="22"/>
          <w:szCs w:val="22"/>
        </w:rPr>
        <w:t>об 11 год. 00 хв., за адресою:  м. Київ, 03150, вул. Ділова, буд. 3 (я</w:t>
      </w:r>
      <w:r w:rsidRPr="00557A29">
        <w:rPr>
          <w:sz w:val="22"/>
          <w:szCs w:val="22"/>
        </w:rPr>
        <w:t>кщо інше не буде передбачено внутрішнім розкладом).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AC1F6F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AC1F6F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4" w:tgtFrame="_blank" w:tooltip="mailto:tender@redcross.org.ua" w:history="1">
        <w:r w:rsidRPr="00AC1F6F">
          <w:rPr>
            <w:rStyle w:val="ab"/>
            <w:sz w:val="22"/>
            <w:szCs w:val="22"/>
            <w:lang w:val="uk-UA"/>
          </w:rPr>
          <w:t>tender@redcross.org.ua</w:t>
        </w:r>
      </w:hyperlink>
      <w:r w:rsidRPr="00AC1F6F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AC1F6F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AC1F6F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AC1F6F">
        <w:rPr>
          <w:sz w:val="22"/>
          <w:szCs w:val="22"/>
          <w:lang w:val="uk-UA"/>
        </w:rPr>
        <w:lastRenderedPageBreak/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AC1F6F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AC1F6F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AC1F6F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AC1F6F">
        <w:rPr>
          <w:b/>
          <w:sz w:val="22"/>
          <w:szCs w:val="22"/>
          <w:lang w:val="uk-UA"/>
        </w:rPr>
        <w:t>цінової</w:t>
      </w:r>
      <w:r w:rsidRPr="00AC1F6F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AC1F6F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C1F6F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5" w:history="1">
        <w:r w:rsidRPr="00AC1F6F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AC1F6F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AC1F6F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C1F6F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C1F6F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C1F6F">
        <w:rPr>
          <w:noProof/>
          <w:sz w:val="22"/>
          <w:szCs w:val="22"/>
          <w:lang w:val="uk-UA"/>
        </w:rPr>
        <w:t>Цінова</w:t>
      </w:r>
      <w:r w:rsidRPr="00AC1F6F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3DF8BE81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443FE5">
        <w:rPr>
          <w:b/>
          <w:noProof/>
          <w:sz w:val="22"/>
          <w:szCs w:val="22"/>
          <w:lang w:val="uk-UA"/>
        </w:rPr>
        <w:t>№</w:t>
      </w:r>
      <w:r w:rsidR="00443FE5" w:rsidRPr="00443FE5">
        <w:rPr>
          <w:b/>
          <w:bCs/>
          <w:sz w:val="22"/>
          <w:szCs w:val="22"/>
          <w:lang w:val="uk-UA"/>
        </w:rPr>
        <w:t>2132</w:t>
      </w:r>
      <w:r w:rsidR="00443FE5" w:rsidRPr="00443FE5">
        <w:rPr>
          <w:b/>
          <w:bCs/>
          <w:sz w:val="22"/>
          <w:szCs w:val="22"/>
          <w:lang w:val="en-US"/>
        </w:rPr>
        <w:t>LC</w:t>
      </w:r>
      <w:r w:rsidRPr="00443FE5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</w:t>
      </w:r>
      <w:r w:rsidRPr="002D76E2">
        <w:rPr>
          <w:b/>
          <w:bCs/>
          <w:noProof/>
          <w:color w:val="FF0000"/>
          <w:sz w:val="22"/>
          <w:szCs w:val="22"/>
          <w:lang w:val="uk-UA"/>
        </w:rPr>
        <w:t>.</w:t>
      </w:r>
      <w:r w:rsidR="00443FE5" w:rsidRPr="002D76E2">
        <w:rPr>
          <w:b/>
          <w:noProof/>
          <w:sz w:val="22"/>
          <w:szCs w:val="22"/>
          <w:lang w:val="uk-UA"/>
        </w:rPr>
        <w:t xml:space="preserve">Послуги аудиту </w:t>
      </w:r>
      <w:r w:rsidR="0068157B" w:rsidRPr="002D76E2">
        <w:rPr>
          <w:b/>
          <w:noProof/>
          <w:sz w:val="22"/>
          <w:szCs w:val="22"/>
          <w:lang w:val="uk-UA"/>
        </w:rPr>
        <w:t>для обласних організацій ТЧХУ</w:t>
      </w:r>
      <w:r w:rsidR="002D76E2" w:rsidRPr="002D76E2">
        <w:rPr>
          <w:b/>
          <w:noProof/>
          <w:sz w:val="22"/>
          <w:szCs w:val="22"/>
          <w:lang w:val="uk-UA"/>
        </w:rPr>
        <w:t>.</w:t>
      </w:r>
    </w:p>
    <w:p w14:paraId="4D233AB5" w14:textId="52D7BBAC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443FE5">
        <w:rPr>
          <w:b/>
          <w:noProof/>
          <w:sz w:val="22"/>
          <w:szCs w:val="22"/>
          <w:lang w:val="uk-UA"/>
        </w:rPr>
        <w:t>«№</w:t>
      </w:r>
      <w:r w:rsidR="00443FE5" w:rsidRPr="00443FE5">
        <w:rPr>
          <w:b/>
          <w:bCs/>
          <w:sz w:val="22"/>
          <w:szCs w:val="22"/>
          <w:lang w:val="uk-UA"/>
        </w:rPr>
        <w:t>2132</w:t>
      </w:r>
      <w:r w:rsidR="00443FE5" w:rsidRPr="00443FE5">
        <w:rPr>
          <w:b/>
          <w:bCs/>
          <w:sz w:val="22"/>
          <w:szCs w:val="22"/>
          <w:lang w:val="en-US"/>
        </w:rPr>
        <w:t>LC</w:t>
      </w:r>
      <w:r w:rsidRPr="00443FE5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</w:t>
      </w:r>
      <w:r w:rsidRPr="002D76E2">
        <w:rPr>
          <w:b/>
          <w:bCs/>
          <w:noProof/>
          <w:color w:val="FF0000"/>
          <w:sz w:val="22"/>
          <w:szCs w:val="22"/>
          <w:lang w:val="uk-UA"/>
        </w:rPr>
        <w:t>.</w:t>
      </w:r>
      <w:r w:rsidR="0068157B" w:rsidRPr="002D76E2">
        <w:rPr>
          <w:b/>
          <w:noProof/>
          <w:sz w:val="22"/>
          <w:szCs w:val="22"/>
          <w:lang w:val="uk-UA"/>
        </w:rPr>
        <w:t>Послуги аудиту для обласних організацій ТЧХУ</w:t>
      </w:r>
      <w:r w:rsidRPr="002D76E2">
        <w:rPr>
          <w:b/>
          <w:noProof/>
          <w:sz w:val="22"/>
          <w:szCs w:val="22"/>
          <w:lang w:val="uk-UA"/>
        </w:rPr>
        <w:t>_ЧАСТИНА 1, ЧАСТИНА 2» і т.д.</w:t>
      </w:r>
      <w:r w:rsidRPr="00AD7DCC">
        <w:rPr>
          <w:b/>
          <w:noProof/>
          <w:sz w:val="22"/>
          <w:szCs w:val="22"/>
          <w:lang w:val="uk-UA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6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79C4213D" w:rsidR="00D52CFF" w:rsidRDefault="00A6690A" w:rsidP="0007397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68F7865" w14:textId="77777777" w:rsidR="00073974" w:rsidRPr="00D52CFF" w:rsidRDefault="00073974" w:rsidP="0007397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12B2CC1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55"/>
        <w:gridCol w:w="4189"/>
        <w:gridCol w:w="157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0B66CC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963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45FD096C" w:rsidR="00B36636" w:rsidRPr="004D12AF" w:rsidRDefault="00BF05F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                      </w:t>
            </w:r>
            <w:r w:rsidR="00B36636" w:rsidRPr="00BF05F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D13CB7" w:rsidRPr="00BF05F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80%</w:t>
            </w:r>
          </w:p>
        </w:tc>
      </w:tr>
      <w:tr w:rsidR="00B36636" w:rsidRPr="004805DD" w14:paraId="0B5D70A3" w14:textId="77777777" w:rsidTr="000B66CC">
        <w:trPr>
          <w:trHeight w:val="450"/>
        </w:trPr>
        <w:tc>
          <w:tcPr>
            <w:tcW w:w="709" w:type="dxa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21EC7B07" w14:textId="16317B10" w:rsidR="00B36636" w:rsidRPr="003E2124" w:rsidRDefault="00930CB9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Наявність досвіду виконання </w:t>
            </w:r>
            <w:r w:rsidR="00C6102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аналогічних </w:t>
            </w:r>
            <w:r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завдань із</w:t>
            </w:r>
            <w:r w:rsidR="00AB190E"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AB190E" w:rsidRPr="003E212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аудиторської перевірки</w:t>
            </w:r>
            <w:r w:rsidR="008824D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Pr="007315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в неурядових некомерційних організаціях.</w:t>
            </w:r>
            <w:r w:rsidRPr="003E212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56D0AC80" w14:textId="19EF0DA4" w:rsidR="00930CB9" w:rsidRPr="0083653A" w:rsidRDefault="00930CB9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highlight w:val="green"/>
                <w:lang w:val="uk-UA"/>
              </w:rPr>
            </w:pPr>
            <w:r w:rsidRPr="003E212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Надати </w:t>
            </w:r>
            <w:r w:rsidR="004112EA" w:rsidRPr="003E2124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референс</w:t>
            </w:r>
            <w:r w:rsidR="004112EA" w:rsidRPr="004112E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-лист  з контактними даними замовників, або договором, або листом-відгуком з контактними даними клієнтів</w:t>
            </w:r>
            <w:r w:rsidR="00B27476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565" w:type="dxa"/>
            <w:vAlign w:val="center"/>
          </w:tcPr>
          <w:p w14:paraId="430AB9C3" w14:textId="5B72BEDE" w:rsidR="00B36636" w:rsidRPr="00B54090" w:rsidRDefault="004112EA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</w:t>
            </w:r>
            <w:r w:rsidR="0063581A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но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досвід проведення</w:t>
            </w:r>
            <w:r w:rsidR="000B66CC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54090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не менше 20 </w:t>
            </w:r>
            <w:r w:rsidR="000B66CC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аудитів</w:t>
            </w:r>
            <w:r w:rsidR="00872D0B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0337C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- 20%</w:t>
            </w:r>
          </w:p>
          <w:p w14:paraId="4C9A55B4" w14:textId="77777777" w:rsidR="00B0337C" w:rsidRPr="00B54090" w:rsidRDefault="00B0337C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6D7C7FB0" w14:textId="0D5433AF" w:rsidR="00B0337C" w:rsidRPr="00B54090" w:rsidRDefault="000B66CC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Підтверджен</w:t>
            </w:r>
            <w:r w:rsidR="00B2747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досвід проведення </w:t>
            </w:r>
            <w:r w:rsidR="00B54090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від 10 до 5 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аналогічних аудитів</w:t>
            </w:r>
            <w:r w:rsidR="008D7955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10%</w:t>
            </w:r>
          </w:p>
          <w:p w14:paraId="70038657" w14:textId="77777777" w:rsidR="0083653A" w:rsidRPr="00B54090" w:rsidRDefault="0083653A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  <w:p w14:paraId="0B162224" w14:textId="151EB361" w:rsidR="0083653A" w:rsidRPr="0083653A" w:rsidRDefault="00DD00F8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green"/>
                <w:lang w:val="uk-UA"/>
              </w:rPr>
            </w:pP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Підтверджен</w:t>
            </w:r>
            <w:r w:rsidR="00B2747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досвід проведення</w:t>
            </w:r>
            <w:r w:rsidRPr="00DD00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менше 5 </w:t>
            </w:r>
            <w:r w:rsidRPr="00DD00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аналогічних </w:t>
            </w:r>
            <w:r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аудитів</w:t>
            </w:r>
            <w:r w:rsidR="0083653A" w:rsidRPr="00B5409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 0%</w:t>
            </w:r>
          </w:p>
        </w:tc>
        <w:tc>
          <w:tcPr>
            <w:tcW w:w="963" w:type="dxa"/>
            <w:vAlign w:val="center"/>
          </w:tcPr>
          <w:p w14:paraId="6B287D57" w14:textId="15D0DD8A" w:rsidR="00B36636" w:rsidRPr="004D12AF" w:rsidRDefault="00BF05F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B36636" w:rsidRPr="004805DD" w14:paraId="044061FB" w14:textId="77777777" w:rsidTr="000B66CC">
        <w:tc>
          <w:tcPr>
            <w:tcW w:w="8534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963" w:type="dxa"/>
            <w:shd w:val="clear" w:color="auto" w:fill="D0CECE"/>
          </w:tcPr>
          <w:p w14:paraId="114AF908" w14:textId="1377EAD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E3527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68F3BA8E" w14:textId="77777777" w:rsidR="00073974" w:rsidRDefault="00073974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29709C39" w14:textId="77777777" w:rsidR="00073974" w:rsidRPr="00A3721F" w:rsidRDefault="00073974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7638F9DD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BF05FB">
        <w:rPr>
          <w:i/>
          <w:sz w:val="22"/>
          <w:szCs w:val="22"/>
          <w:lang w:val="uk-UA"/>
        </w:rPr>
        <w:t>Голова тендерного комітету</w:t>
      </w:r>
      <w:r w:rsidRPr="00BF05FB">
        <w:rPr>
          <w:i/>
          <w:sz w:val="22"/>
          <w:szCs w:val="22"/>
          <w:lang w:val="uk-UA"/>
        </w:rPr>
        <w:tab/>
      </w:r>
      <w:r w:rsidRPr="00BF05FB">
        <w:rPr>
          <w:i/>
          <w:sz w:val="22"/>
          <w:szCs w:val="22"/>
          <w:lang w:val="uk-UA"/>
        </w:rPr>
        <w:tab/>
      </w:r>
      <w:r w:rsidR="009E6AC7" w:rsidRPr="00BF05FB">
        <w:rPr>
          <w:i/>
          <w:sz w:val="22"/>
          <w:szCs w:val="22"/>
          <w:lang w:val="uk-UA"/>
        </w:rPr>
        <w:t xml:space="preserve">                                       </w:t>
      </w:r>
      <w:r w:rsidRPr="00BF05FB">
        <w:rPr>
          <w:i/>
          <w:sz w:val="22"/>
          <w:szCs w:val="22"/>
          <w:lang w:val="uk-UA"/>
        </w:rPr>
        <w:tab/>
      </w:r>
      <w:r w:rsidR="00CC7D16" w:rsidRPr="00BF05FB">
        <w:rPr>
          <w:i/>
          <w:sz w:val="22"/>
          <w:szCs w:val="22"/>
          <w:lang w:val="uk-UA"/>
        </w:rPr>
        <w:t xml:space="preserve">____________ </w:t>
      </w:r>
      <w:r w:rsidR="00FD51D8">
        <w:rPr>
          <w:i/>
          <w:sz w:val="22"/>
          <w:szCs w:val="22"/>
          <w:lang w:val="uk-UA"/>
        </w:rPr>
        <w:t>Ошовська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9990B8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7C110A" w:rsidRPr="007C110A">
        <w:rPr>
          <w:spacing w:val="-4"/>
          <w:sz w:val="22"/>
          <w:szCs w:val="22"/>
          <w:lang w:val="uk-UA"/>
        </w:rPr>
        <w:t>послуг аудиту витрат обласних організацій ТЧХУ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03AD9650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63716563" w14:textId="77777777" w:rsidR="002624AE" w:rsidRPr="002624AE" w:rsidRDefault="002624AE" w:rsidP="002624AE">
      <w:pPr>
        <w:jc w:val="right"/>
        <w:textAlignment w:val="baseline"/>
        <w:rPr>
          <w:bCs/>
          <w:sz w:val="16"/>
          <w:szCs w:val="16"/>
          <w:lang w:val="uk-UA"/>
        </w:rPr>
      </w:pPr>
      <w:r w:rsidRPr="002624AE">
        <w:rPr>
          <w:bCs/>
          <w:sz w:val="16"/>
          <w:szCs w:val="16"/>
          <w:lang w:val="uk-UA"/>
        </w:rPr>
        <w:t>до Цінової пропозиції</w:t>
      </w:r>
    </w:p>
    <w:p w14:paraId="3F80D867" w14:textId="77777777" w:rsidR="002624AE" w:rsidRDefault="002624AE" w:rsidP="002624AE">
      <w:pPr>
        <w:jc w:val="right"/>
        <w:textAlignment w:val="baseline"/>
        <w:rPr>
          <w:bCs/>
          <w:sz w:val="16"/>
          <w:szCs w:val="16"/>
          <w:lang w:val="uk-UA"/>
        </w:rPr>
      </w:pPr>
      <w:r w:rsidRPr="002624AE">
        <w:rPr>
          <w:bCs/>
          <w:sz w:val="16"/>
          <w:szCs w:val="16"/>
          <w:lang w:val="uk-UA"/>
        </w:rPr>
        <w:t xml:space="preserve">         на закупівлю послуг аудиту витрат</w:t>
      </w:r>
    </w:p>
    <w:p w14:paraId="64AE480F" w14:textId="319BC27C" w:rsidR="00EA67E2" w:rsidRDefault="002624AE" w:rsidP="002624AE">
      <w:pPr>
        <w:jc w:val="right"/>
        <w:textAlignment w:val="baseline"/>
        <w:rPr>
          <w:sz w:val="22"/>
          <w:szCs w:val="22"/>
          <w:lang w:val="uk-UA" w:eastAsia="uk-UA"/>
        </w:rPr>
      </w:pPr>
      <w:r w:rsidRPr="002624AE">
        <w:rPr>
          <w:bCs/>
          <w:sz w:val="16"/>
          <w:szCs w:val="16"/>
          <w:lang w:val="uk-UA"/>
        </w:rPr>
        <w:t xml:space="preserve"> обласних організацій ТЧХУ</w:t>
      </w:r>
    </w:p>
    <w:p w14:paraId="6E9A8B0B" w14:textId="77777777" w:rsidR="008F4B65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p w14:paraId="49D4FE28" w14:textId="77777777" w:rsidR="002624AE" w:rsidRDefault="002624AE" w:rsidP="00EA67E2">
      <w:pPr>
        <w:textAlignment w:val="baseline"/>
        <w:rPr>
          <w:sz w:val="22"/>
          <w:szCs w:val="22"/>
          <w:lang w:val="uk-UA" w:eastAsia="uk-UA"/>
        </w:rPr>
      </w:pPr>
    </w:p>
    <w:p w14:paraId="5953B025" w14:textId="7A9966A9" w:rsidR="00C146FF" w:rsidRPr="00C146FF" w:rsidRDefault="00C146FF" w:rsidP="00C146FF">
      <w:pPr>
        <w:jc w:val="center"/>
        <w:textAlignment w:val="baseline"/>
        <w:rPr>
          <w:b/>
          <w:bCs/>
          <w:sz w:val="22"/>
          <w:szCs w:val="22"/>
          <w:lang w:val="uk-UA" w:eastAsia="uk-UA"/>
        </w:rPr>
      </w:pPr>
      <w:r w:rsidRPr="00C146FF">
        <w:rPr>
          <w:b/>
          <w:bCs/>
          <w:sz w:val="22"/>
          <w:szCs w:val="22"/>
          <w:lang w:val="uk-UA" w:eastAsia="uk-UA"/>
        </w:rPr>
        <w:t>ТЕХНІЧНЕ ЗАВДАННЯ</w:t>
      </w:r>
    </w:p>
    <w:p w14:paraId="79ECAFD7" w14:textId="6A045ED2" w:rsidR="002624AE" w:rsidRDefault="00C146FF" w:rsidP="00C146FF">
      <w:pPr>
        <w:jc w:val="center"/>
        <w:textAlignment w:val="baseline"/>
        <w:rPr>
          <w:sz w:val="22"/>
          <w:szCs w:val="22"/>
          <w:lang w:val="uk-UA" w:eastAsia="uk-UA"/>
        </w:rPr>
      </w:pPr>
      <w:r w:rsidRPr="00C146FF">
        <w:rPr>
          <w:sz w:val="22"/>
          <w:szCs w:val="22"/>
          <w:lang w:val="uk-UA" w:eastAsia="uk-UA"/>
        </w:rPr>
        <w:t>на надання супутніх послуг у відповідності зі стандартом ISRS 4400 (Переглянуте)</w:t>
      </w:r>
    </w:p>
    <w:p w14:paraId="0E693A03" w14:textId="77777777" w:rsidR="00E07547" w:rsidRDefault="00E07547" w:rsidP="00C146FF">
      <w:pPr>
        <w:jc w:val="center"/>
        <w:textAlignment w:val="baseline"/>
        <w:rPr>
          <w:sz w:val="22"/>
          <w:szCs w:val="22"/>
          <w:lang w:val="uk-UA" w:eastAsia="uk-UA"/>
        </w:rPr>
      </w:pPr>
    </w:p>
    <w:p w14:paraId="72189CE0" w14:textId="77777777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ЗАГАЛЬНА ІНФОРМАЦІЯ І КОНТЕКСТ:</w:t>
      </w:r>
    </w:p>
    <w:p w14:paraId="354725D3" w14:textId="77777777" w:rsidR="00E07547" w:rsidRPr="0069716C" w:rsidRDefault="00E07547" w:rsidP="00E07547">
      <w:pPr>
        <w:shd w:val="clear" w:color="auto" w:fill="FFFFFF"/>
        <w:rPr>
          <w:rFonts w:ascii="Arial" w:hAnsi="Arial" w:cs="Arial"/>
          <w:color w:val="222222"/>
          <w:lang w:val="uk-UA" w:eastAsia="fr-CH"/>
        </w:rPr>
      </w:pPr>
    </w:p>
    <w:p w14:paraId="0582F196" w14:textId="77777777" w:rsidR="00E07547" w:rsidRPr="00E0754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Від початку загострення Міжнародного збройного конфлікту (МЗК) Товариство Червоного Хреста України (ТЧХУ) та Міжнародний Комітет Червоного Хреста (МКЧХ) працюють у партнерстві, щоб забезпечити допомогу та гуманітарні послуги, а також зміцнити спроможності ТЧХУ у різних сферах. У період з 2022 по </w:t>
      </w:r>
      <w:r w:rsidRPr="008D5BAF">
        <w:rPr>
          <w:sz w:val="20"/>
          <w:szCs w:val="20"/>
          <w:lang w:val="uk-UA" w:eastAsia="uk-UA"/>
        </w:rPr>
        <w:t>2024</w:t>
      </w:r>
      <w:r w:rsidRPr="00E07547">
        <w:rPr>
          <w:sz w:val="22"/>
          <w:szCs w:val="22"/>
          <w:lang w:val="uk-UA" w:eastAsia="uk-UA"/>
        </w:rPr>
        <w:t xml:space="preserve"> рік МКЧХ підтримав регіональні організації ТЧХУ в Миколаєві, Донецьку та Харкові у діяльності за напрямами: водопостачання та середовище проживання, економічна безпека, психічне здоров'я і психосоціальна підтримка (MHPSS), амбулаторне лікуванням, служба транспортування пацієнтів неекстрених випадків, перша допомога, усвідомлення ризиків та безпечна поведінка, відновлення родинних зв'язків, надзвичайні заходи та підтримка основної діяльності.</w:t>
      </w:r>
    </w:p>
    <w:p w14:paraId="0B7ACA7B" w14:textId="77777777" w:rsidR="00E07547" w:rsidRPr="00541E64" w:rsidRDefault="00E07547" w:rsidP="00E07547">
      <w:pPr>
        <w:ind w:firstLine="706"/>
        <w:jc w:val="both"/>
        <w:rPr>
          <w:lang w:val="uk-UA"/>
        </w:rPr>
      </w:pPr>
    </w:p>
    <w:p w14:paraId="00B69300" w14:textId="77777777" w:rsidR="00E07547" w:rsidRPr="00E0754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Загальні витрати, які підлягають аудиту, становлять 229 117 410,74 грн, з наступним розподілом: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842"/>
        <w:gridCol w:w="1985"/>
        <w:gridCol w:w="1843"/>
        <w:gridCol w:w="2126"/>
      </w:tblGrid>
      <w:tr w:rsidR="00E07547" w:rsidRPr="00BA3203" w14:paraId="0F956E44" w14:textId="77777777" w:rsidTr="00D96FD3">
        <w:trPr>
          <w:trHeight w:val="8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10F5" w14:textId="77777777" w:rsidR="00E07547" w:rsidRPr="00F64505" w:rsidRDefault="00E07547" w:rsidP="00D96FD3">
            <w:pPr>
              <w:jc w:val="center"/>
              <w:rPr>
                <w:b/>
                <w:bCs/>
                <w:lang w:val="uk-UA"/>
              </w:rPr>
            </w:pPr>
            <w:r w:rsidRPr="00F64505">
              <w:rPr>
                <w:b/>
                <w:bCs/>
                <w:lang w:val="uk-UA"/>
              </w:rPr>
              <w:t>Обласні організації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7C6B" w14:textId="77777777" w:rsidR="00E07547" w:rsidRPr="008D5BAF" w:rsidRDefault="00E07547" w:rsidP="00D96FD3">
            <w:pPr>
              <w:jc w:val="center"/>
              <w:rPr>
                <w:b/>
                <w:bCs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EEC29" w14:textId="77777777" w:rsidR="00E07547" w:rsidRPr="00BA3203" w:rsidRDefault="00E07547" w:rsidP="00D96FD3">
            <w:pPr>
              <w:jc w:val="center"/>
              <w:rPr>
                <w:b/>
                <w:bCs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D230" w14:textId="77777777" w:rsidR="00E07547" w:rsidRPr="008D5BAF" w:rsidRDefault="00E07547" w:rsidP="00D96FD3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477E" w14:textId="77777777" w:rsidR="00E07547" w:rsidRPr="00BA3203" w:rsidRDefault="00E07547" w:rsidP="00D96FD3">
            <w:pPr>
              <w:jc w:val="center"/>
              <w:rPr>
                <w:b/>
                <w:bCs/>
              </w:rPr>
            </w:pPr>
            <w:r w:rsidRPr="00BA3203">
              <w:rPr>
                <w:b/>
                <w:bCs/>
              </w:rPr>
              <w:t>Всього (грн.)</w:t>
            </w:r>
          </w:p>
        </w:tc>
      </w:tr>
      <w:tr w:rsidR="00E07547" w:rsidRPr="00967470" w14:paraId="674C356B" w14:textId="77777777" w:rsidTr="00D96FD3">
        <w:trPr>
          <w:trHeight w:val="70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3D0BC" w14:textId="77777777" w:rsidR="00E07547" w:rsidRPr="00F64505" w:rsidRDefault="00E07547" w:rsidP="00D96FD3">
            <w:pPr>
              <w:jc w:val="center"/>
              <w:rPr>
                <w:b/>
                <w:bCs/>
                <w:lang w:val="uk-UA"/>
              </w:rPr>
            </w:pPr>
            <w:r w:rsidRPr="00F64505">
              <w:rPr>
                <w:b/>
                <w:bCs/>
                <w:lang w:val="uk-UA"/>
              </w:rPr>
              <w:t>Донецька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B8AD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12 953</w:t>
            </w:r>
            <w:r>
              <w:t> </w:t>
            </w:r>
            <w:r w:rsidRPr="00967470">
              <w:t>663</w:t>
            </w:r>
            <w:r>
              <w:t>,</w:t>
            </w:r>
            <w:r w:rsidRPr="00967470"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B2C5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 xml:space="preserve">      27 518</w:t>
            </w:r>
            <w:r>
              <w:t> </w:t>
            </w:r>
            <w:r w:rsidRPr="00967470">
              <w:t>214</w:t>
            </w:r>
            <w:r>
              <w:t>,</w:t>
            </w:r>
            <w:r w:rsidRPr="00967470">
              <w:t xml:space="preserve">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F506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24</w:t>
            </w:r>
            <w:r>
              <w:t xml:space="preserve"> </w:t>
            </w:r>
            <w:r w:rsidRPr="00967470">
              <w:t>962</w:t>
            </w:r>
            <w:r>
              <w:t> </w:t>
            </w:r>
            <w:r w:rsidRPr="00967470">
              <w:t>771</w:t>
            </w:r>
            <w:r>
              <w:t>,</w:t>
            </w:r>
            <w:r w:rsidRPr="00967470"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CFA2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65 434</w:t>
            </w:r>
            <w:r>
              <w:t> </w:t>
            </w:r>
            <w:r w:rsidRPr="00967470">
              <w:t>649</w:t>
            </w:r>
            <w:r>
              <w:t>,</w:t>
            </w:r>
            <w:r w:rsidRPr="00967470">
              <w:t>62</w:t>
            </w:r>
          </w:p>
        </w:tc>
      </w:tr>
      <w:tr w:rsidR="00E07547" w:rsidRPr="00967470" w14:paraId="13C91656" w14:textId="77777777" w:rsidTr="00D96FD3">
        <w:trPr>
          <w:trHeight w:val="5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A3338" w14:textId="77777777" w:rsidR="00E07547" w:rsidRPr="00F64505" w:rsidRDefault="00E07547" w:rsidP="00D96FD3">
            <w:pPr>
              <w:jc w:val="center"/>
              <w:rPr>
                <w:b/>
                <w:bCs/>
                <w:lang w:val="uk-UA"/>
              </w:rPr>
            </w:pPr>
            <w:r w:rsidRPr="00F64505">
              <w:rPr>
                <w:b/>
                <w:bCs/>
                <w:lang w:val="uk-UA"/>
              </w:rPr>
              <w:t>Миколаївська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D405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16 126</w:t>
            </w:r>
            <w:r>
              <w:t> </w:t>
            </w:r>
            <w:r w:rsidRPr="00967470">
              <w:t>753</w:t>
            </w:r>
            <w:r>
              <w:t>,</w:t>
            </w:r>
            <w:r w:rsidRPr="00967470"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9438" w14:textId="77777777" w:rsidR="00E07547" w:rsidRPr="00967470" w:rsidRDefault="00E07547" w:rsidP="00D96FD3">
            <w:pPr>
              <w:ind w:right="77"/>
              <w:jc w:val="right"/>
            </w:pPr>
            <w:r w:rsidRPr="00967470">
              <w:t xml:space="preserve">      27 263</w:t>
            </w:r>
            <w:r>
              <w:t> </w:t>
            </w:r>
            <w:r w:rsidRPr="00967470">
              <w:t>024</w:t>
            </w:r>
            <w:r>
              <w:t>,</w:t>
            </w:r>
            <w:r w:rsidRPr="00967470">
              <w:t xml:space="preserve">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D800" w14:textId="77777777" w:rsidR="00E07547" w:rsidRPr="00967470" w:rsidRDefault="00E07547" w:rsidP="00D96FD3">
            <w:pPr>
              <w:ind w:right="70"/>
              <w:jc w:val="right"/>
            </w:pPr>
            <w:r w:rsidRPr="00967470">
              <w:t xml:space="preserve">        5 734</w:t>
            </w:r>
            <w:r>
              <w:t> </w:t>
            </w:r>
            <w:r w:rsidRPr="00967470">
              <w:t>277</w:t>
            </w:r>
            <w:r>
              <w:t>,</w:t>
            </w:r>
            <w:r w:rsidRPr="00967470">
              <w:t xml:space="preserve">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3F8F" w14:textId="77777777" w:rsidR="00E07547" w:rsidRPr="00967470" w:rsidRDefault="00E07547" w:rsidP="00D96FD3">
            <w:pPr>
              <w:ind w:right="76"/>
              <w:jc w:val="right"/>
            </w:pPr>
            <w:r w:rsidRPr="00967470">
              <w:t>49 124</w:t>
            </w:r>
            <w:r>
              <w:t> </w:t>
            </w:r>
            <w:r w:rsidRPr="00967470">
              <w:t>055</w:t>
            </w:r>
            <w:r>
              <w:t>,</w:t>
            </w:r>
            <w:r w:rsidRPr="00967470">
              <w:t>75</w:t>
            </w:r>
          </w:p>
        </w:tc>
      </w:tr>
      <w:tr w:rsidR="00E07547" w:rsidRPr="00967470" w14:paraId="7F0D6BCD" w14:textId="77777777" w:rsidTr="00D96FD3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9C5D" w14:textId="77777777" w:rsidR="00E07547" w:rsidRPr="00F64505" w:rsidRDefault="00E07547" w:rsidP="00D96FD3">
            <w:pPr>
              <w:jc w:val="center"/>
              <w:rPr>
                <w:b/>
                <w:bCs/>
                <w:lang w:val="uk-UA"/>
              </w:rPr>
            </w:pPr>
            <w:r w:rsidRPr="00F64505">
              <w:rPr>
                <w:b/>
                <w:bCs/>
                <w:lang w:val="uk-UA"/>
              </w:rPr>
              <w:t>Харківська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5B53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21 397</w:t>
            </w:r>
            <w:r>
              <w:t> </w:t>
            </w:r>
            <w:r w:rsidRPr="00967470">
              <w:t>436</w:t>
            </w:r>
            <w:r>
              <w:t>,</w:t>
            </w:r>
            <w:r w:rsidRPr="00967470"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5A31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 xml:space="preserve">      61 058</w:t>
            </w:r>
            <w:r>
              <w:t> </w:t>
            </w:r>
            <w:r w:rsidRPr="00967470">
              <w:t>282</w:t>
            </w:r>
            <w:r>
              <w:t>,</w:t>
            </w:r>
            <w:r w:rsidRPr="00967470">
              <w:t xml:space="preserve">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D7E0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 xml:space="preserve">      35 528</w:t>
            </w:r>
            <w:r>
              <w:t> </w:t>
            </w:r>
            <w:r w:rsidRPr="00967470">
              <w:t>673</w:t>
            </w:r>
            <w:r>
              <w:t>,</w:t>
            </w:r>
            <w:r w:rsidRPr="00967470">
              <w:t xml:space="preserve">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908F" w14:textId="77777777" w:rsidR="00E07547" w:rsidRPr="00967470" w:rsidRDefault="00E07547" w:rsidP="00D96FD3">
            <w:pPr>
              <w:ind w:right="73"/>
              <w:jc w:val="right"/>
            </w:pPr>
            <w:r w:rsidRPr="00967470">
              <w:t>114 558</w:t>
            </w:r>
            <w:r>
              <w:t> </w:t>
            </w:r>
            <w:r w:rsidRPr="00967470">
              <w:t>705</w:t>
            </w:r>
            <w:r>
              <w:t>,</w:t>
            </w:r>
            <w:r w:rsidRPr="00967470">
              <w:t>37</w:t>
            </w:r>
          </w:p>
        </w:tc>
      </w:tr>
      <w:tr w:rsidR="00E07547" w:rsidRPr="00967470" w14:paraId="1E08EB54" w14:textId="77777777" w:rsidTr="00D96FD3">
        <w:trPr>
          <w:trHeight w:val="416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D9DF8" w14:textId="77777777" w:rsidR="00E07547" w:rsidRPr="00BA3203" w:rsidRDefault="00E07547" w:rsidP="00D96FD3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20EBA" w14:textId="77777777" w:rsidR="00E07547" w:rsidRPr="00967470" w:rsidRDefault="00E07547" w:rsidP="00D96FD3">
            <w:pPr>
              <w:ind w:right="73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BFB64" w14:textId="77777777" w:rsidR="00E07547" w:rsidRPr="00967470" w:rsidRDefault="00E07547" w:rsidP="00D96FD3">
            <w:pPr>
              <w:ind w:right="73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150D" w14:textId="77777777" w:rsidR="00E07547" w:rsidRPr="00967470" w:rsidRDefault="00E07547" w:rsidP="00D96FD3">
            <w:pPr>
              <w:ind w:right="73"/>
              <w:jc w:val="righ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78F3" w14:textId="77777777" w:rsidR="00E07547" w:rsidRPr="00321C68" w:rsidRDefault="00E07547" w:rsidP="008D5BAF">
            <w:pPr>
              <w:jc w:val="center"/>
              <w:rPr>
                <w:b/>
                <w:bCs/>
              </w:rPr>
            </w:pPr>
            <w:r w:rsidRPr="008D5BAF">
              <w:rPr>
                <w:b/>
                <w:bCs/>
                <w:sz w:val="20"/>
                <w:szCs w:val="20"/>
                <w:lang w:val="uk-UA" w:eastAsia="uk-UA"/>
              </w:rPr>
              <w:t>229 117 410,74</w:t>
            </w:r>
          </w:p>
        </w:tc>
      </w:tr>
    </w:tbl>
    <w:p w14:paraId="5738C277" w14:textId="77777777" w:rsidR="00E07547" w:rsidRDefault="00E07547" w:rsidP="00E07547">
      <w:pPr>
        <w:ind w:firstLine="706"/>
        <w:jc w:val="both"/>
        <w:rPr>
          <w:lang w:val="uk-UA"/>
        </w:rPr>
      </w:pPr>
    </w:p>
    <w:p w14:paraId="37893DFA" w14:textId="77777777" w:rsidR="00E07547" w:rsidRPr="00E0754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Виконання цього завдання вимагається умовами угод про фінансування для забезпечення підзвітності, прозорості та дотримання нормативних вимог донора.</w:t>
      </w:r>
    </w:p>
    <w:p w14:paraId="271B6521" w14:textId="77777777" w:rsidR="00E07547" w:rsidRPr="008747B9" w:rsidRDefault="00E07547" w:rsidP="00E075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uk-UA"/>
        </w:rPr>
      </w:pPr>
    </w:p>
    <w:p w14:paraId="61037D80" w14:textId="77777777" w:rsidR="00E07547" w:rsidRPr="00541E64" w:rsidRDefault="00E07547" w:rsidP="00E075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uk-UA"/>
        </w:rPr>
      </w:pPr>
    </w:p>
    <w:p w14:paraId="5DF28186" w14:textId="77777777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ЦІЛІ ПРОЄКТУ:</w:t>
      </w:r>
    </w:p>
    <w:p w14:paraId="3B5FCC58" w14:textId="77777777" w:rsidR="00E07547" w:rsidRPr="004469C4" w:rsidRDefault="00E07547" w:rsidP="00E07547">
      <w:pPr>
        <w:tabs>
          <w:tab w:val="left" w:pos="720"/>
        </w:tabs>
        <w:spacing w:before="60"/>
        <w:jc w:val="both"/>
        <w:rPr>
          <w:lang w:val="uk-UA"/>
        </w:rPr>
      </w:pPr>
    </w:p>
    <w:p w14:paraId="652F1D90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відповідність фінансових операцій затвердженим політикам і процедурам, проаналізувавши вибірку видаткових операцій Харківської, Донецької та Миколаївської обласних організацій ТЧХУ за 2022-2024 фінансові роки. Та перевірити чи фінансові операції відображені у річних фінансових звітах.</w:t>
      </w:r>
    </w:p>
    <w:p w14:paraId="5B8E1618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Перевірити чи донорські вимоги, чинне законодавство та політики ТЧХУ  бути дотримані. </w:t>
      </w:r>
    </w:p>
    <w:p w14:paraId="74F28F6D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Переконатися що були дотримані процедури звірки банківських виписок з бухгалтерськими записами.</w:t>
      </w:r>
    </w:p>
    <w:p w14:paraId="18753A57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Переконатися що витрати проектної діяльності та відповідають витратам затвердженому бюджету, угодам про оперативне співробітництво та робочому плану. </w:t>
      </w:r>
    </w:p>
    <w:p w14:paraId="644BEB41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Надати Звіт про фактичні результати виконаних процедур по кожній регіональній організації за три роки, що перевіряються (2022-2024 рр.)</w:t>
      </w:r>
    </w:p>
    <w:p w14:paraId="4F8CF9AC" w14:textId="77777777" w:rsidR="00E07547" w:rsidRPr="00E07547" w:rsidRDefault="00E07547" w:rsidP="00E07547">
      <w:pPr>
        <w:pStyle w:val="af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наявність відповідної супровідної документації для транзакцій, включених до переліку транзакцій.</w:t>
      </w:r>
    </w:p>
    <w:p w14:paraId="6E532C40" w14:textId="55720861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НЕЗАЛЕЖНІСТЬ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07D57B41" w14:textId="77777777" w:rsidR="00E07547" w:rsidRPr="00E07547" w:rsidRDefault="00E07547" w:rsidP="00E07547">
      <w:pPr>
        <w:tabs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Виконавець має забезпечити відсутність конфлікту інтересів з особами, які охоплюються перевіркою.</w:t>
      </w:r>
    </w:p>
    <w:p w14:paraId="64474788" w14:textId="77777777" w:rsidR="00E07547" w:rsidRPr="00E07547" w:rsidRDefault="00E07547" w:rsidP="00E07547">
      <w:pPr>
        <w:pStyle w:val="af"/>
        <w:tabs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sz w:val="22"/>
          <w:szCs w:val="22"/>
          <w:lang w:val="uk-UA" w:eastAsia="uk-UA"/>
        </w:rPr>
      </w:pPr>
    </w:p>
    <w:p w14:paraId="23E62496" w14:textId="7CCE1642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lastRenderedPageBreak/>
        <w:t>РЕЛЕВАНТНИЙ ДОСВІД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4F165C44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Виконавець повинен продемонструвати, що має досвід роботи із гуманітарними проєктами, які фінансуються публічними або приватними донорами.</w:t>
      </w:r>
    </w:p>
    <w:p w14:paraId="27DE8B60" w14:textId="77777777" w:rsidR="00E07547" w:rsidRPr="00DA3ED0" w:rsidRDefault="00E07547" w:rsidP="00E07547">
      <w:pPr>
        <w:ind w:firstLine="720"/>
        <w:jc w:val="both"/>
        <w:rPr>
          <w:lang w:val="uk-UA"/>
        </w:rPr>
      </w:pPr>
    </w:p>
    <w:p w14:paraId="1F95A038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 xml:space="preserve">ЗВІТУВАННЯ: </w:t>
      </w:r>
    </w:p>
    <w:p w14:paraId="4A303C9D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Виконавець забезпечить:</w:t>
      </w:r>
    </w:p>
    <w:p w14:paraId="37923CAF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Звіт: Як учасник завдання за стандартом ISRS 4400, фахівець-практик складає Звіт про фактичні дані щодо переліку транзакцій (для кожної регіональної організації).</w:t>
      </w:r>
    </w:p>
    <w:p w14:paraId="57365B3F" w14:textId="77777777" w:rsidR="00E07547" w:rsidRDefault="00E07547" w:rsidP="00E07547">
      <w:pPr>
        <w:jc w:val="both"/>
        <w:rPr>
          <w:lang w:val="uk-UA"/>
        </w:rPr>
      </w:pPr>
    </w:p>
    <w:p w14:paraId="002EE3C3" w14:textId="3AAD8774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ПЛАНУВАННЯ, ПРОЦЕДУРИ, ДОКУМЕНТУВАННЯ ТА ДОКАЗИ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21E46FAE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Робота повинна бути спланована таким чином, щоб забезпечити ефективне виконання узгоджених процедур. Отримані докази ляжуть в основу остаточного звіту. Фахівець може розглядати аспекти, пов'язані з ризиком шахрайства або невідповідності, тільки в контексті конкретних узгоджених процедур, якщо це доречно. Слід уникати використання специфічної для аудиту термінології, а натомість використовувати мову, що відповідає узгодженим процедурам відповідно до ISRS 4400.</w:t>
      </w:r>
    </w:p>
    <w:p w14:paraId="539D36C2" w14:textId="77777777" w:rsidR="00E07547" w:rsidRPr="00E4158C" w:rsidRDefault="00E07547" w:rsidP="00E07547">
      <w:pPr>
        <w:ind w:firstLine="706"/>
        <w:jc w:val="both"/>
        <w:rPr>
          <w:lang w:val="uk-UA"/>
        </w:rPr>
      </w:pPr>
    </w:p>
    <w:p w14:paraId="514AA2D1" w14:textId="4FC59362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ТАЙМІНГ ПРОЄКТУ</w:t>
      </w:r>
      <w:r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37550CCF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Робота має виконуватися в період з 15.09.2025 по 15.12.2025. Фінальний звіт має бути наданий до 31.12.2025.</w:t>
      </w:r>
    </w:p>
    <w:p w14:paraId="54D935B8" w14:textId="77777777" w:rsidR="00E07547" w:rsidRPr="00DC71A4" w:rsidRDefault="00E07547" w:rsidP="00E07547">
      <w:pPr>
        <w:jc w:val="both"/>
        <w:rPr>
          <w:rFonts w:ascii="Arial" w:hAnsi="Arial" w:cs="Arial"/>
          <w:b/>
        </w:rPr>
      </w:pPr>
    </w:p>
    <w:p w14:paraId="2BEEA97D" w14:textId="3F4B8672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С</w:t>
      </w:r>
      <w:r>
        <w:rPr>
          <w:b/>
          <w:bCs/>
          <w:i/>
          <w:iCs/>
          <w:sz w:val="22"/>
          <w:szCs w:val="22"/>
          <w:lang w:val="uk-UA" w:eastAsia="uk-UA"/>
        </w:rPr>
        <w:t>ТАНДАРТИ</w:t>
      </w:r>
      <w:r w:rsidRPr="00E07547"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7DE8EB7C" w14:textId="77777777" w:rsidR="00E07547" w:rsidRPr="00E07547" w:rsidRDefault="00E07547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Завдання буде проведено у відповідності до:</w:t>
      </w:r>
    </w:p>
    <w:p w14:paraId="6B9EF466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МССП 4400 (переглянутий)</w:t>
      </w:r>
    </w:p>
    <w:p w14:paraId="4C12CCBD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Кодексу етики професійних бухгалтерів IFAC</w:t>
      </w:r>
    </w:p>
    <w:p w14:paraId="084546DB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Специфічних вимог МКЧХ, викладених у цьому документі</w:t>
      </w:r>
    </w:p>
    <w:p w14:paraId="64BBEB04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Чинних національних законів і нормативних актів</w:t>
      </w:r>
    </w:p>
    <w:p w14:paraId="1833DFC8" w14:textId="77777777" w:rsidR="00E07547" w:rsidRPr="00541E64" w:rsidRDefault="00E07547" w:rsidP="00E07547">
      <w:pPr>
        <w:shd w:val="clear" w:color="auto" w:fill="FFFFFF"/>
        <w:rPr>
          <w:rFonts w:ascii="Arial" w:hAnsi="Arial" w:cs="Arial"/>
          <w:b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УЗГОДЖЕНІ ПРОЦЕДУРИ:</w:t>
      </w:r>
    </w:p>
    <w:p w14:paraId="191CC1A4" w14:textId="77777777" w:rsidR="00E07547" w:rsidRPr="00E07547" w:rsidRDefault="00E07547" w:rsidP="00E07547">
      <w:pPr>
        <w:pStyle w:val="af"/>
        <w:numPr>
          <w:ilvl w:val="0"/>
          <w:numId w:val="30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операції, відображені в транзакційному листі, з первинною документацією. Для вибірки в 65% від суми транзакції перевірити супровідну документацію (наприклад, рахунки-фактури, квитанції, платіжні відомості, контракти), щоб переконатися в цьому:</w:t>
      </w:r>
    </w:p>
    <w:p w14:paraId="7F3D7D14" w14:textId="77777777" w:rsidR="00E07547" w:rsidRPr="00E07547" w:rsidRDefault="00E07547" w:rsidP="00E07547">
      <w:pPr>
        <w:pStyle w:val="af"/>
        <w:numPr>
          <w:ilvl w:val="0"/>
          <w:numId w:val="31"/>
        </w:numPr>
        <w:shd w:val="clear" w:color="auto" w:fill="FFFFFF" w:themeFill="background1"/>
        <w:spacing w:line="360" w:lineRule="auto"/>
        <w:ind w:left="1080" w:hanging="27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сума, дата та опис транзакції мають відповідати супровідним документам.</w:t>
      </w:r>
    </w:p>
    <w:p w14:paraId="74F4538F" w14:textId="77777777" w:rsidR="00E07547" w:rsidRPr="00E07547" w:rsidRDefault="00E07547" w:rsidP="00E07547">
      <w:pPr>
        <w:pStyle w:val="af"/>
        <w:numPr>
          <w:ilvl w:val="0"/>
          <w:numId w:val="31"/>
        </w:numPr>
        <w:shd w:val="clear" w:color="auto" w:fill="FFFFFF" w:themeFill="background1"/>
        <w:spacing w:line="360" w:lineRule="auto"/>
        <w:ind w:left="1080" w:hanging="27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транзакція належним чином авторизована (дотримання принципу 4х очей).</w:t>
      </w:r>
    </w:p>
    <w:p w14:paraId="5C369959" w14:textId="77777777" w:rsidR="00E07547" w:rsidRPr="00E07547" w:rsidRDefault="00E07547" w:rsidP="00E07547">
      <w:pPr>
        <w:pStyle w:val="af"/>
        <w:numPr>
          <w:ilvl w:val="0"/>
          <w:numId w:val="31"/>
        </w:numPr>
        <w:shd w:val="clear" w:color="auto" w:fill="FFFFFF" w:themeFill="background1"/>
        <w:spacing w:line="360" w:lineRule="auto"/>
        <w:ind w:left="1080" w:hanging="27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операція зареєстрована в правильному звітному періоді. </w:t>
      </w:r>
    </w:p>
    <w:p w14:paraId="35A5C3AC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Перевірте, чи були дотримані процедури закупівель (тендери, контракти, поставки). </w:t>
      </w:r>
    </w:p>
    <w:p w14:paraId="33507D3E" w14:textId="4A4CF743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Всі активи вартістю від 160 000,00 грн. повинні бути фізично перевірені та відстежені в </w:t>
      </w:r>
      <w:r w:rsidR="001D29D6" w:rsidRPr="00E07547">
        <w:rPr>
          <w:sz w:val="22"/>
          <w:szCs w:val="22"/>
          <w:lang w:val="uk-UA" w:eastAsia="uk-UA"/>
        </w:rPr>
        <w:t>інвентаризаційній</w:t>
      </w:r>
      <w:r w:rsidRPr="00E07547">
        <w:rPr>
          <w:sz w:val="22"/>
          <w:szCs w:val="22"/>
          <w:lang w:val="uk-UA" w:eastAsia="uk-UA"/>
        </w:rPr>
        <w:t xml:space="preserve"> відомості активів, що ведеться ОО.</w:t>
      </w:r>
    </w:p>
    <w:p w14:paraId="31E1929C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 xml:space="preserve">Перевірити на основі вибірки суми нарахованих заробітних плат, документів із кадрового діловодства. Переконатися, що працівники не отримують заробітну плату із різних проєктів та донорів, яка перевищує розмір встановленого окладу. </w:t>
      </w:r>
    </w:p>
    <w:p w14:paraId="35C23168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Підтвердити банківські перекази та використання рахунків.</w:t>
      </w:r>
    </w:p>
    <w:p w14:paraId="75EE283D" w14:textId="77777777" w:rsidR="00E07547" w:rsidRPr="00E0754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E07547">
        <w:rPr>
          <w:sz w:val="22"/>
          <w:szCs w:val="22"/>
          <w:lang w:val="uk-UA" w:eastAsia="uk-UA"/>
        </w:rPr>
        <w:t>Перевірити використання та облік банківських рахунків для конкретних проектів.</w:t>
      </w:r>
    </w:p>
    <w:p w14:paraId="4C8A949C" w14:textId="77777777" w:rsidR="00E07547" w:rsidRPr="002A44C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Оцінити процеси відбору постачальників.</w:t>
      </w:r>
    </w:p>
    <w:p w14:paraId="7B74069A" w14:textId="77777777" w:rsidR="00E07547" w:rsidRPr="002A44C7" w:rsidRDefault="00E07547" w:rsidP="002A44C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Перевірка обліку запасів та управління активами.</w:t>
      </w:r>
    </w:p>
    <w:p w14:paraId="2D2E2B4C" w14:textId="77777777" w:rsidR="00E07547" w:rsidRPr="002A44C7" w:rsidRDefault="00E07547" w:rsidP="002A44C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Перевірити адміністративні та непрямі витрати.</w:t>
      </w:r>
    </w:p>
    <w:p w14:paraId="5F3FC512" w14:textId="77777777" w:rsidR="00E07547" w:rsidRPr="002A44C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Підтвердити, що неприйнятні витрати не були віднесені до переліку транзакцій.</w:t>
      </w:r>
    </w:p>
    <w:p w14:paraId="2C7821CD" w14:textId="77777777" w:rsidR="00E07547" w:rsidRPr="002A44C7" w:rsidRDefault="00E07547" w:rsidP="00E07547">
      <w:pPr>
        <w:pStyle w:val="af"/>
        <w:numPr>
          <w:ilvl w:val="0"/>
          <w:numId w:val="29"/>
        </w:numPr>
        <w:shd w:val="clear" w:color="auto" w:fill="FFFFFF"/>
        <w:spacing w:line="360" w:lineRule="auto"/>
        <w:ind w:left="720"/>
        <w:contextualSpacing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Порівняти вибірку зареєстрованих проектних витрат із затвердженим донором бюджетом, щоб переконатися, що витрати були віднесені до правильних бюджетних категорій, визначених донором.</w:t>
      </w:r>
    </w:p>
    <w:p w14:paraId="17B57C48" w14:textId="77777777" w:rsidR="00E07547" w:rsidRPr="001A33FC" w:rsidRDefault="00E07547" w:rsidP="00E07547">
      <w:pPr>
        <w:pStyle w:val="af"/>
        <w:shd w:val="clear" w:color="auto" w:fill="FFFFFF"/>
        <w:spacing w:line="360" w:lineRule="auto"/>
        <w:rPr>
          <w:rFonts w:ascii="Arial" w:hAnsi="Arial" w:cs="Arial"/>
          <w:color w:val="222222"/>
          <w:lang w:eastAsia="fr-CH"/>
        </w:rPr>
      </w:pPr>
    </w:p>
    <w:p w14:paraId="286DA296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ОБЛАСТІ, ЯКІ ПОКРИВАЮТЬСЯ:</w:t>
      </w:r>
    </w:p>
    <w:p w14:paraId="11031276" w14:textId="76D56FAB" w:rsidR="00E07547" w:rsidRPr="002A44C7" w:rsidRDefault="00930311" w:rsidP="00E07547">
      <w:pPr>
        <w:ind w:firstLine="720"/>
        <w:jc w:val="both"/>
        <w:rPr>
          <w:sz w:val="22"/>
          <w:szCs w:val="22"/>
          <w:lang w:val="uk-UA" w:eastAsia="uk-UA"/>
        </w:rPr>
      </w:pPr>
      <w:r w:rsidRPr="00930311">
        <w:rPr>
          <w:sz w:val="22"/>
          <w:szCs w:val="22"/>
          <w:lang w:val="uk-UA" w:eastAsia="uk-UA"/>
        </w:rPr>
        <w:t>Донецька ОО (розташована в Дніпропетровській області), Харківська ОО, Миколаївська ОО.</w:t>
      </w:r>
    </w:p>
    <w:p w14:paraId="3DE7F4A9" w14:textId="77777777" w:rsidR="00E07547" w:rsidRPr="002A44C7" w:rsidRDefault="00E07547" w:rsidP="00E07547">
      <w:pPr>
        <w:jc w:val="both"/>
        <w:rPr>
          <w:sz w:val="22"/>
          <w:szCs w:val="22"/>
          <w:lang w:val="uk-UA" w:eastAsia="uk-UA"/>
        </w:rPr>
      </w:pPr>
    </w:p>
    <w:p w14:paraId="06A1CF4A" w14:textId="18056748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>
        <w:rPr>
          <w:b/>
          <w:bCs/>
          <w:i/>
          <w:iCs/>
          <w:sz w:val="22"/>
          <w:szCs w:val="22"/>
          <w:lang w:val="uk-UA" w:eastAsia="uk-UA"/>
        </w:rPr>
        <w:t>ОБСЯГ</w:t>
      </w:r>
      <w:r w:rsidRPr="00E07547">
        <w:rPr>
          <w:b/>
          <w:bCs/>
          <w:i/>
          <w:iCs/>
          <w:sz w:val="22"/>
          <w:szCs w:val="22"/>
          <w:lang w:val="uk-UA" w:eastAsia="uk-UA"/>
        </w:rPr>
        <w:t>:</w:t>
      </w:r>
    </w:p>
    <w:p w14:paraId="0899FFD6" w14:textId="77777777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Фінансові операції: перевірити їх на відповідність первинній документації.</w:t>
      </w:r>
    </w:p>
    <w:p w14:paraId="16F85FD4" w14:textId="77777777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Програмні активності: порівняти результати активностей із затвердженим робочим планом (бюджетом), де це можливо.</w:t>
      </w:r>
    </w:p>
    <w:p w14:paraId="51810C80" w14:textId="68FF35E3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 xml:space="preserve">Процеси закупівель: перевірка </w:t>
      </w:r>
      <w:r w:rsidR="001D29D6" w:rsidRPr="002A44C7">
        <w:rPr>
          <w:sz w:val="22"/>
          <w:szCs w:val="22"/>
          <w:lang w:val="uk-UA" w:eastAsia="uk-UA"/>
        </w:rPr>
        <w:t>обов’язкової</w:t>
      </w:r>
      <w:r w:rsidRPr="002A44C7">
        <w:rPr>
          <w:sz w:val="22"/>
          <w:szCs w:val="22"/>
          <w:lang w:val="uk-UA" w:eastAsia="uk-UA"/>
        </w:rPr>
        <w:t xml:space="preserve"> документації та оцінка контролей.</w:t>
      </w:r>
    </w:p>
    <w:p w14:paraId="5EC96516" w14:textId="77777777" w:rsidR="00E07547" w:rsidRPr="002A44C7" w:rsidRDefault="00E07547" w:rsidP="00E07547">
      <w:pPr>
        <w:pStyle w:val="af"/>
        <w:numPr>
          <w:ilvl w:val="0"/>
          <w:numId w:val="32"/>
        </w:numPr>
        <w:spacing w:line="360" w:lineRule="auto"/>
        <w:ind w:left="720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Управління активами: придбання, використання та списання активів.</w:t>
      </w:r>
    </w:p>
    <w:p w14:paraId="6F37EDFB" w14:textId="77777777" w:rsidR="00E07547" w:rsidRPr="00380E2F" w:rsidRDefault="00E07547" w:rsidP="00E07547">
      <w:pPr>
        <w:ind w:left="720"/>
        <w:jc w:val="both"/>
      </w:pPr>
    </w:p>
    <w:p w14:paraId="4FB1B317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РОЗМІР ВИБІРКИ:</w:t>
      </w:r>
    </w:p>
    <w:p w14:paraId="6F304B66" w14:textId="77777777" w:rsidR="00E07547" w:rsidRPr="002A44C7" w:rsidRDefault="00E07547" w:rsidP="002A44C7">
      <w:pPr>
        <w:spacing w:line="360" w:lineRule="auto"/>
        <w:contextualSpacing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Щонайменше 65% транзакцій від загальних річних витрат на 2022-2024 роки кожного регіонального відділення.</w:t>
      </w:r>
    </w:p>
    <w:p w14:paraId="32B6ADED" w14:textId="77777777" w:rsidR="00E07547" w:rsidRDefault="00E07547" w:rsidP="00E07547">
      <w:pPr>
        <w:jc w:val="both"/>
        <w:rPr>
          <w:b/>
          <w:bCs/>
        </w:rPr>
      </w:pPr>
    </w:p>
    <w:p w14:paraId="253B246E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ФОРМАТ І ПРЕДСТАВЛЕННЯ:</w:t>
      </w:r>
    </w:p>
    <w:p w14:paraId="68F166CD" w14:textId="77777777" w:rsidR="00E07547" w:rsidRPr="002A44C7" w:rsidRDefault="00E07547" w:rsidP="00E07547">
      <w:pPr>
        <w:ind w:firstLine="706"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 xml:space="preserve">Усі звіти мають бути подані англійською мовою у форматі PDF електронною поштою на адресу </w:t>
      </w:r>
      <w:hyperlink r:id="rId17" w:history="1">
        <w:r w:rsidRPr="002A44C7">
          <w:rPr>
            <w:sz w:val="22"/>
            <w:szCs w:val="22"/>
            <w:lang w:eastAsia="uk-UA"/>
          </w:rPr>
          <w:t>y.naumchuk@redcross.org.ua</w:t>
        </w:r>
      </w:hyperlink>
      <w:r w:rsidRPr="002A44C7">
        <w:rPr>
          <w:sz w:val="22"/>
          <w:szCs w:val="22"/>
          <w:lang w:val="uk-UA" w:eastAsia="uk-UA"/>
        </w:rPr>
        <w:t xml:space="preserve"> Наприклад, звіт Миколаївської ОО буде включати дані за 2022, 2023 і 2024 роки (рік за роком), і те ж саме для інших. </w:t>
      </w:r>
    </w:p>
    <w:p w14:paraId="1001B452" w14:textId="77777777" w:rsidR="00E07547" w:rsidRDefault="00E07547" w:rsidP="00E07547">
      <w:pPr>
        <w:ind w:firstLine="706"/>
        <w:jc w:val="both"/>
        <w:rPr>
          <w:lang w:val="uk-UA"/>
        </w:rPr>
      </w:pPr>
    </w:p>
    <w:p w14:paraId="2C6F6C35" w14:textId="77777777" w:rsidR="00E07547" w:rsidRPr="00E07547" w:rsidRDefault="00E07547" w:rsidP="00E07547">
      <w:pPr>
        <w:shd w:val="clear" w:color="auto" w:fill="FFFFFF"/>
        <w:rPr>
          <w:b/>
          <w:bCs/>
          <w:i/>
          <w:iCs/>
          <w:sz w:val="22"/>
          <w:szCs w:val="22"/>
          <w:lang w:val="uk-UA" w:eastAsia="uk-UA"/>
        </w:rPr>
      </w:pPr>
      <w:r w:rsidRPr="00E07547">
        <w:rPr>
          <w:b/>
          <w:bCs/>
          <w:i/>
          <w:iCs/>
          <w:sz w:val="22"/>
          <w:szCs w:val="22"/>
          <w:lang w:val="uk-UA" w:eastAsia="uk-UA"/>
        </w:rPr>
        <w:t>ДОДАТКИ:</w:t>
      </w:r>
    </w:p>
    <w:p w14:paraId="4996EC7E" w14:textId="77777777" w:rsidR="00E07547" w:rsidRPr="002A44C7" w:rsidRDefault="00E07547" w:rsidP="00E07547">
      <w:pPr>
        <w:ind w:left="720"/>
        <w:jc w:val="both"/>
        <w:rPr>
          <w:sz w:val="22"/>
          <w:szCs w:val="22"/>
          <w:lang w:val="uk-UA" w:eastAsia="uk-UA"/>
        </w:rPr>
      </w:pPr>
      <w:r w:rsidRPr="002A44C7">
        <w:rPr>
          <w:sz w:val="22"/>
          <w:szCs w:val="22"/>
          <w:lang w:val="uk-UA" w:eastAsia="uk-UA"/>
        </w:rPr>
        <w:t>Детальні специфікації та необхідна документація для кожної ділянки проекту:</w:t>
      </w:r>
    </w:p>
    <w:p w14:paraId="3DFB834D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1.</w:t>
      </w:r>
      <w:r w:rsidRPr="001A33FC">
        <w:tab/>
      </w:r>
      <w:r w:rsidRPr="002A44C7">
        <w:rPr>
          <w:sz w:val="22"/>
          <w:szCs w:val="22"/>
          <w:lang w:val="uk-UA" w:eastAsia="uk-UA"/>
        </w:rPr>
        <w:t>Банківські рахунки та перекази.</w:t>
      </w:r>
    </w:p>
    <w:p w14:paraId="74E8FF87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2.</w:t>
      </w:r>
      <w:r w:rsidRPr="001A33FC">
        <w:tab/>
      </w:r>
      <w:r w:rsidRPr="002A44C7">
        <w:rPr>
          <w:sz w:val="22"/>
          <w:szCs w:val="22"/>
          <w:lang w:val="uk-UA" w:eastAsia="uk-UA"/>
        </w:rPr>
        <w:t>Людські ресурси.</w:t>
      </w:r>
    </w:p>
    <w:p w14:paraId="299FE717" w14:textId="77777777" w:rsidR="00E07547" w:rsidRPr="001A33FC" w:rsidRDefault="00E07547" w:rsidP="00E07547">
      <w:pPr>
        <w:spacing w:line="360" w:lineRule="auto"/>
        <w:ind w:left="720" w:hanging="360"/>
        <w:jc w:val="both"/>
      </w:pPr>
      <w:r w:rsidRPr="001A33FC">
        <w:t>3.</w:t>
      </w:r>
      <w:r w:rsidRPr="001A33FC">
        <w:tab/>
      </w:r>
      <w:r w:rsidRPr="002A44C7">
        <w:rPr>
          <w:sz w:val="22"/>
          <w:szCs w:val="22"/>
          <w:lang w:val="uk-UA" w:eastAsia="uk-UA"/>
        </w:rPr>
        <w:t>Звітність та облікові форми.</w:t>
      </w:r>
      <w:r w:rsidRPr="001A33FC">
        <w:t xml:space="preserve"> </w:t>
      </w:r>
    </w:p>
    <w:p w14:paraId="7671195F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4.</w:t>
      </w:r>
      <w:r w:rsidRPr="001A33FC">
        <w:tab/>
      </w:r>
      <w:r w:rsidRPr="002A44C7">
        <w:rPr>
          <w:sz w:val="22"/>
          <w:szCs w:val="22"/>
          <w:lang w:val="uk-UA" w:eastAsia="uk-UA"/>
        </w:rPr>
        <w:t>Перелік активів станом на дату підписання угоди відповідно до узгоджених процедур, придбаних за кошти МКЧХ протягом 2022-2024 років.</w:t>
      </w:r>
    </w:p>
    <w:p w14:paraId="6BE73E4E" w14:textId="77777777" w:rsidR="00E07547" w:rsidRPr="002A44C7" w:rsidRDefault="00E07547" w:rsidP="00E07547">
      <w:pPr>
        <w:spacing w:line="360" w:lineRule="auto"/>
        <w:ind w:left="720" w:hanging="360"/>
        <w:jc w:val="both"/>
        <w:rPr>
          <w:sz w:val="22"/>
          <w:szCs w:val="22"/>
          <w:lang w:val="uk-UA" w:eastAsia="uk-UA"/>
        </w:rPr>
      </w:pPr>
      <w:r w:rsidRPr="001A33FC">
        <w:t>5.</w:t>
      </w:r>
      <w:r w:rsidRPr="001A33FC">
        <w:tab/>
      </w:r>
      <w:r w:rsidRPr="002A44C7">
        <w:rPr>
          <w:sz w:val="22"/>
          <w:szCs w:val="22"/>
          <w:lang w:val="uk-UA" w:eastAsia="uk-UA"/>
        </w:rPr>
        <w:t>Річні реєстри завершених проектів із зазначенням кодів діяльності, бюджетних сум і фактично понесених витрат за 2022-2024 роки.</w:t>
      </w:r>
    </w:p>
    <w:p w14:paraId="0D578867" w14:textId="77777777" w:rsidR="00E07547" w:rsidRPr="00531333" w:rsidRDefault="00E07547" w:rsidP="00C146FF">
      <w:pPr>
        <w:jc w:val="center"/>
        <w:textAlignment w:val="baseline"/>
        <w:rPr>
          <w:sz w:val="22"/>
          <w:szCs w:val="22"/>
          <w:lang w:val="uk-UA" w:eastAsia="uk-UA"/>
        </w:rPr>
      </w:pPr>
    </w:p>
    <w:p w14:paraId="15E8682C" w14:textId="508B4D91" w:rsidR="00EA67E2" w:rsidRDefault="00EA67E2" w:rsidP="00C146FF">
      <w:pPr>
        <w:ind w:firstLine="357"/>
        <w:jc w:val="center"/>
        <w:textAlignment w:val="baseline"/>
        <w:rPr>
          <w:color w:val="000000"/>
          <w:sz w:val="22"/>
          <w:szCs w:val="22"/>
          <w:lang w:val="uk-UA" w:eastAsia="uk-UA"/>
        </w:rPr>
      </w:pPr>
    </w:p>
    <w:p w14:paraId="3BCEC3DC" w14:textId="77777777" w:rsidR="003A70EF" w:rsidRDefault="003A70EF" w:rsidP="003339FE">
      <w:pPr>
        <w:spacing w:line="360" w:lineRule="auto"/>
        <w:ind w:left="720" w:hanging="360"/>
        <w:jc w:val="both"/>
        <w:rPr>
          <w:lang w:val="uk-UA"/>
        </w:rPr>
      </w:pPr>
    </w:p>
    <w:tbl>
      <w:tblPr>
        <w:tblW w:w="10439" w:type="dxa"/>
        <w:tblLook w:val="04A0" w:firstRow="1" w:lastRow="0" w:firstColumn="1" w:lastColumn="0" w:noHBand="0" w:noVBand="1"/>
      </w:tblPr>
      <w:tblGrid>
        <w:gridCol w:w="8200"/>
        <w:gridCol w:w="1287"/>
        <w:gridCol w:w="952"/>
      </w:tblGrid>
      <w:tr w:rsidR="003A70EF" w14:paraId="6145A4E6" w14:textId="77777777" w:rsidTr="003A70EF">
        <w:trPr>
          <w:trHeight w:val="399"/>
        </w:trPr>
        <w:tc>
          <w:tcPr>
            <w:tcW w:w="9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C9045" w14:textId="31D80FBF" w:rsidR="003A70EF" w:rsidRDefault="003A70EF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</w:rPr>
              <w:t xml:space="preserve">              Керівник організації/ФОП:___________________ ( ____________________)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765B5" w14:textId="77777777" w:rsidR="003A70EF" w:rsidRDefault="003A70EF">
            <w:pPr>
              <w:rPr>
                <w:color w:val="000000"/>
                <w:sz w:val="22"/>
                <w:szCs w:val="22"/>
              </w:rPr>
            </w:pPr>
          </w:p>
        </w:tc>
      </w:tr>
      <w:tr w:rsidR="003A70EF" w14:paraId="7917CCBF" w14:textId="77777777" w:rsidTr="003A70EF">
        <w:trPr>
          <w:trHeight w:val="451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3E4B8" w14:textId="77777777" w:rsidR="003A70EF" w:rsidRDefault="003A70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 МП                                  підпис                               ПІБ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4687" w14:textId="77777777" w:rsidR="003A70EF" w:rsidRDefault="003A70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08128" w14:textId="77777777" w:rsidR="003A70EF" w:rsidRDefault="003A70EF">
            <w:pPr>
              <w:rPr>
                <w:sz w:val="20"/>
                <w:szCs w:val="20"/>
              </w:rPr>
            </w:pPr>
          </w:p>
        </w:tc>
      </w:tr>
    </w:tbl>
    <w:p w14:paraId="5DD5CD06" w14:textId="77777777" w:rsidR="003A70EF" w:rsidRPr="003A70EF" w:rsidRDefault="003A70EF" w:rsidP="003339FE">
      <w:pPr>
        <w:spacing w:line="360" w:lineRule="auto"/>
        <w:ind w:left="720" w:hanging="360"/>
        <w:jc w:val="both"/>
        <w:rPr>
          <w:highlight w:val="yellow"/>
          <w:lang w:val="uk-UA"/>
        </w:rPr>
      </w:pPr>
    </w:p>
    <w:p w14:paraId="3831EBB9" w14:textId="77777777" w:rsidR="003339FE" w:rsidRPr="001A33FC" w:rsidRDefault="003339FE" w:rsidP="003339FE">
      <w:pPr>
        <w:jc w:val="both"/>
        <w:rPr>
          <w:rFonts w:ascii="Arial" w:hAnsi="Arial" w:cs="Arial"/>
        </w:rPr>
      </w:pPr>
    </w:p>
    <w:p w14:paraId="480D4C9D" w14:textId="77777777" w:rsidR="003339FE" w:rsidRPr="00407051" w:rsidRDefault="003339FE" w:rsidP="00C146FF">
      <w:pPr>
        <w:ind w:firstLine="357"/>
        <w:jc w:val="center"/>
        <w:textAlignment w:val="baseline"/>
        <w:rPr>
          <w:color w:val="000000"/>
          <w:sz w:val="22"/>
          <w:szCs w:val="22"/>
          <w:lang w:val="uk-UA" w:eastAsia="uk-UA"/>
        </w:rPr>
      </w:pPr>
    </w:p>
    <w:sectPr w:rsidR="003339FE" w:rsidRPr="00407051" w:rsidSect="004E7D16">
      <w:headerReference w:type="default" r:id="rId18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F6DF5" w14:textId="77777777" w:rsidR="008B50CD" w:rsidRDefault="008B50CD" w:rsidP="00B948CF">
      <w:r>
        <w:separator/>
      </w:r>
    </w:p>
  </w:endnote>
  <w:endnote w:type="continuationSeparator" w:id="0">
    <w:p w14:paraId="126CD5DD" w14:textId="77777777" w:rsidR="008B50CD" w:rsidRDefault="008B50CD" w:rsidP="00B948CF">
      <w:r>
        <w:continuationSeparator/>
      </w:r>
    </w:p>
  </w:endnote>
  <w:endnote w:type="continuationNotice" w:id="1">
    <w:p w14:paraId="047D8986" w14:textId="77777777" w:rsidR="008B50CD" w:rsidRDefault="008B5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B1454" w14:textId="77777777" w:rsidR="008B50CD" w:rsidRDefault="008B50CD" w:rsidP="00B948CF">
      <w:r>
        <w:separator/>
      </w:r>
    </w:p>
  </w:footnote>
  <w:footnote w:type="continuationSeparator" w:id="0">
    <w:p w14:paraId="0D786CDA" w14:textId="77777777" w:rsidR="008B50CD" w:rsidRDefault="008B50CD" w:rsidP="00B948CF">
      <w:r>
        <w:continuationSeparator/>
      </w:r>
    </w:p>
  </w:footnote>
  <w:footnote w:type="continuationNotice" w:id="1">
    <w:p w14:paraId="477997AA" w14:textId="77777777" w:rsidR="008B50CD" w:rsidRDefault="008B5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27D54"/>
    <w:multiLevelType w:val="hybridMultilevel"/>
    <w:tmpl w:val="D2EC61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78A0"/>
    <w:multiLevelType w:val="hybridMultilevel"/>
    <w:tmpl w:val="EB6A0A98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84E"/>
    <w:multiLevelType w:val="hybridMultilevel"/>
    <w:tmpl w:val="987672B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2" w15:restartNumberingAfterBreak="0">
    <w:nsid w:val="331D1799"/>
    <w:multiLevelType w:val="hybridMultilevel"/>
    <w:tmpl w:val="E49A9A4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740D3C"/>
    <w:multiLevelType w:val="hybridMultilevel"/>
    <w:tmpl w:val="BA8AD0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86F56C6"/>
    <w:multiLevelType w:val="hybridMultilevel"/>
    <w:tmpl w:val="7232453E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FD6861"/>
    <w:multiLevelType w:val="hybridMultilevel"/>
    <w:tmpl w:val="5950B07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6"/>
  </w:num>
  <w:num w:numId="6" w16cid:durableId="725567586">
    <w:abstractNumId w:val="29"/>
  </w:num>
  <w:num w:numId="7" w16cid:durableId="1595630758">
    <w:abstractNumId w:val="23"/>
  </w:num>
  <w:num w:numId="8" w16cid:durableId="336469480">
    <w:abstractNumId w:val="18"/>
  </w:num>
  <w:num w:numId="9" w16cid:durableId="1980643802">
    <w:abstractNumId w:val="20"/>
  </w:num>
  <w:num w:numId="10" w16cid:durableId="2041977314">
    <w:abstractNumId w:val="19"/>
  </w:num>
  <w:num w:numId="11" w16cid:durableId="1500076154">
    <w:abstractNumId w:val="15"/>
  </w:num>
  <w:num w:numId="12" w16cid:durableId="31619943">
    <w:abstractNumId w:val="30"/>
  </w:num>
  <w:num w:numId="13" w16cid:durableId="1361781468">
    <w:abstractNumId w:val="11"/>
  </w:num>
  <w:num w:numId="14" w16cid:durableId="370031542">
    <w:abstractNumId w:val="4"/>
  </w:num>
  <w:num w:numId="15" w16cid:durableId="1071852785">
    <w:abstractNumId w:val="7"/>
  </w:num>
  <w:num w:numId="16" w16cid:durableId="542669374">
    <w:abstractNumId w:val="28"/>
  </w:num>
  <w:num w:numId="17" w16cid:durableId="886719366">
    <w:abstractNumId w:val="13"/>
  </w:num>
  <w:num w:numId="18" w16cid:durableId="633679338">
    <w:abstractNumId w:val="14"/>
  </w:num>
  <w:num w:numId="19" w16cid:durableId="1309896046">
    <w:abstractNumId w:val="25"/>
  </w:num>
  <w:num w:numId="20" w16cid:durableId="1921986476">
    <w:abstractNumId w:val="2"/>
  </w:num>
  <w:num w:numId="21" w16cid:durableId="598562130">
    <w:abstractNumId w:val="31"/>
  </w:num>
  <w:num w:numId="22" w16cid:durableId="110633945">
    <w:abstractNumId w:val="27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10"/>
  </w:num>
  <w:num w:numId="26" w16cid:durableId="349528681">
    <w:abstractNumId w:val="17"/>
  </w:num>
  <w:num w:numId="27" w16cid:durableId="1934510745">
    <w:abstractNumId w:val="8"/>
  </w:num>
  <w:num w:numId="28" w16cid:durableId="1028264587">
    <w:abstractNumId w:val="5"/>
  </w:num>
  <w:num w:numId="29" w16cid:durableId="2018144138">
    <w:abstractNumId w:val="21"/>
  </w:num>
  <w:num w:numId="30" w16cid:durableId="1269384564">
    <w:abstractNumId w:val="9"/>
  </w:num>
  <w:num w:numId="31" w16cid:durableId="60836018">
    <w:abstractNumId w:val="6"/>
  </w:num>
  <w:num w:numId="32" w16cid:durableId="2059741508">
    <w:abstractNumId w:val="22"/>
  </w:num>
  <w:num w:numId="33" w16cid:durableId="188247976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1F82"/>
    <w:rsid w:val="00003664"/>
    <w:rsid w:val="000045F4"/>
    <w:rsid w:val="00004982"/>
    <w:rsid w:val="000069B2"/>
    <w:rsid w:val="00007D57"/>
    <w:rsid w:val="0001007C"/>
    <w:rsid w:val="0001544B"/>
    <w:rsid w:val="000210F9"/>
    <w:rsid w:val="00021549"/>
    <w:rsid w:val="00021E3D"/>
    <w:rsid w:val="0002329A"/>
    <w:rsid w:val="00025E0A"/>
    <w:rsid w:val="00025FBC"/>
    <w:rsid w:val="0002696F"/>
    <w:rsid w:val="00027BB1"/>
    <w:rsid w:val="00030A91"/>
    <w:rsid w:val="00031455"/>
    <w:rsid w:val="00032088"/>
    <w:rsid w:val="00032C40"/>
    <w:rsid w:val="000355AA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65FE6"/>
    <w:rsid w:val="0007172A"/>
    <w:rsid w:val="000732F3"/>
    <w:rsid w:val="00073974"/>
    <w:rsid w:val="00073AB7"/>
    <w:rsid w:val="00077FB7"/>
    <w:rsid w:val="000813A6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B8A"/>
    <w:rsid w:val="000B4245"/>
    <w:rsid w:val="000B48D8"/>
    <w:rsid w:val="000B5AC9"/>
    <w:rsid w:val="000B66CC"/>
    <w:rsid w:val="000C0060"/>
    <w:rsid w:val="000C154A"/>
    <w:rsid w:val="000C2316"/>
    <w:rsid w:val="000C2715"/>
    <w:rsid w:val="000C5348"/>
    <w:rsid w:val="000C5788"/>
    <w:rsid w:val="000C59B4"/>
    <w:rsid w:val="000C7EC4"/>
    <w:rsid w:val="000D0DD0"/>
    <w:rsid w:val="000D0F1A"/>
    <w:rsid w:val="000D1312"/>
    <w:rsid w:val="000D2EC8"/>
    <w:rsid w:val="000D5ADF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72A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74EA"/>
    <w:rsid w:val="0012328E"/>
    <w:rsid w:val="001237BA"/>
    <w:rsid w:val="00124A87"/>
    <w:rsid w:val="00125975"/>
    <w:rsid w:val="00126314"/>
    <w:rsid w:val="00126EB6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79F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0AB7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4BDA"/>
    <w:rsid w:val="0018701A"/>
    <w:rsid w:val="00187DDF"/>
    <w:rsid w:val="00193D14"/>
    <w:rsid w:val="0019766B"/>
    <w:rsid w:val="001A065E"/>
    <w:rsid w:val="001A070B"/>
    <w:rsid w:val="001A0901"/>
    <w:rsid w:val="001A296E"/>
    <w:rsid w:val="001A470A"/>
    <w:rsid w:val="001A5921"/>
    <w:rsid w:val="001A6815"/>
    <w:rsid w:val="001B003C"/>
    <w:rsid w:val="001B1399"/>
    <w:rsid w:val="001B3130"/>
    <w:rsid w:val="001B578D"/>
    <w:rsid w:val="001B62C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72E"/>
    <w:rsid w:val="001C5A35"/>
    <w:rsid w:val="001D142B"/>
    <w:rsid w:val="001D1C8D"/>
    <w:rsid w:val="001D29D6"/>
    <w:rsid w:val="001D4097"/>
    <w:rsid w:val="001D485E"/>
    <w:rsid w:val="001D48B5"/>
    <w:rsid w:val="001D4C28"/>
    <w:rsid w:val="001D56B9"/>
    <w:rsid w:val="001D6F16"/>
    <w:rsid w:val="001E14CF"/>
    <w:rsid w:val="001E393A"/>
    <w:rsid w:val="001E4DBB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004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1CC7"/>
    <w:rsid w:val="002624AE"/>
    <w:rsid w:val="0026406B"/>
    <w:rsid w:val="00264552"/>
    <w:rsid w:val="00264A83"/>
    <w:rsid w:val="00266926"/>
    <w:rsid w:val="00267116"/>
    <w:rsid w:val="00267E05"/>
    <w:rsid w:val="00272D32"/>
    <w:rsid w:val="00274438"/>
    <w:rsid w:val="00274C4B"/>
    <w:rsid w:val="0028389A"/>
    <w:rsid w:val="002907A8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4C7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0F0C"/>
    <w:rsid w:val="002C1D11"/>
    <w:rsid w:val="002C4D8B"/>
    <w:rsid w:val="002C579B"/>
    <w:rsid w:val="002D1932"/>
    <w:rsid w:val="002D322D"/>
    <w:rsid w:val="002D4687"/>
    <w:rsid w:val="002D65B5"/>
    <w:rsid w:val="002D65FA"/>
    <w:rsid w:val="002D76E2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4A5B"/>
    <w:rsid w:val="003155A9"/>
    <w:rsid w:val="00317A03"/>
    <w:rsid w:val="00320A0F"/>
    <w:rsid w:val="00321F47"/>
    <w:rsid w:val="0032516A"/>
    <w:rsid w:val="00325175"/>
    <w:rsid w:val="00325A62"/>
    <w:rsid w:val="00325B63"/>
    <w:rsid w:val="00325E61"/>
    <w:rsid w:val="00326C54"/>
    <w:rsid w:val="0032705B"/>
    <w:rsid w:val="00327A14"/>
    <w:rsid w:val="0033152D"/>
    <w:rsid w:val="00331A4E"/>
    <w:rsid w:val="00331F55"/>
    <w:rsid w:val="0033293A"/>
    <w:rsid w:val="003339FE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86E"/>
    <w:rsid w:val="00354C72"/>
    <w:rsid w:val="003562E1"/>
    <w:rsid w:val="00357FB7"/>
    <w:rsid w:val="00360927"/>
    <w:rsid w:val="003615FF"/>
    <w:rsid w:val="00365375"/>
    <w:rsid w:val="00365B12"/>
    <w:rsid w:val="00370791"/>
    <w:rsid w:val="00370E6C"/>
    <w:rsid w:val="00371493"/>
    <w:rsid w:val="00372412"/>
    <w:rsid w:val="00375F75"/>
    <w:rsid w:val="003764E5"/>
    <w:rsid w:val="00376A08"/>
    <w:rsid w:val="0038016E"/>
    <w:rsid w:val="00380803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1400"/>
    <w:rsid w:val="00394B0A"/>
    <w:rsid w:val="0039580B"/>
    <w:rsid w:val="00396F44"/>
    <w:rsid w:val="00397843"/>
    <w:rsid w:val="003A2C9A"/>
    <w:rsid w:val="003A2E95"/>
    <w:rsid w:val="003A64B5"/>
    <w:rsid w:val="003A70EF"/>
    <w:rsid w:val="003A728D"/>
    <w:rsid w:val="003A7F27"/>
    <w:rsid w:val="003B2501"/>
    <w:rsid w:val="003B251F"/>
    <w:rsid w:val="003B2716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124"/>
    <w:rsid w:val="003E23FE"/>
    <w:rsid w:val="003E2898"/>
    <w:rsid w:val="003E3396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3E2B"/>
    <w:rsid w:val="00405840"/>
    <w:rsid w:val="00407051"/>
    <w:rsid w:val="00407D9A"/>
    <w:rsid w:val="00411035"/>
    <w:rsid w:val="004112EA"/>
    <w:rsid w:val="00414C10"/>
    <w:rsid w:val="00415FCD"/>
    <w:rsid w:val="004171D2"/>
    <w:rsid w:val="004201EE"/>
    <w:rsid w:val="00423D64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0D1B"/>
    <w:rsid w:val="0044278A"/>
    <w:rsid w:val="00443FE5"/>
    <w:rsid w:val="004501F2"/>
    <w:rsid w:val="00456E5A"/>
    <w:rsid w:val="0046488C"/>
    <w:rsid w:val="00465079"/>
    <w:rsid w:val="00466AD8"/>
    <w:rsid w:val="00467A47"/>
    <w:rsid w:val="0047143A"/>
    <w:rsid w:val="00472974"/>
    <w:rsid w:val="0047340B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5154"/>
    <w:rsid w:val="00495B4E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0BB9"/>
    <w:rsid w:val="004C2787"/>
    <w:rsid w:val="004C614C"/>
    <w:rsid w:val="004C7464"/>
    <w:rsid w:val="004D05CA"/>
    <w:rsid w:val="004D11F0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1735"/>
    <w:rsid w:val="0053309A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57DF1"/>
    <w:rsid w:val="005622AE"/>
    <w:rsid w:val="005629B6"/>
    <w:rsid w:val="00563442"/>
    <w:rsid w:val="0056345E"/>
    <w:rsid w:val="00564515"/>
    <w:rsid w:val="00564808"/>
    <w:rsid w:val="00565446"/>
    <w:rsid w:val="005668F1"/>
    <w:rsid w:val="00570092"/>
    <w:rsid w:val="00571608"/>
    <w:rsid w:val="00577961"/>
    <w:rsid w:val="005810A6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2875"/>
    <w:rsid w:val="005C31C2"/>
    <w:rsid w:val="005C33EB"/>
    <w:rsid w:val="005C4346"/>
    <w:rsid w:val="005C505D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E5249"/>
    <w:rsid w:val="005F0064"/>
    <w:rsid w:val="005F61DA"/>
    <w:rsid w:val="00603B11"/>
    <w:rsid w:val="00604420"/>
    <w:rsid w:val="00605C06"/>
    <w:rsid w:val="00606075"/>
    <w:rsid w:val="0060610A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36EE"/>
    <w:rsid w:val="00633AC4"/>
    <w:rsid w:val="006346C0"/>
    <w:rsid w:val="0063536D"/>
    <w:rsid w:val="0063537D"/>
    <w:rsid w:val="0063581A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545E"/>
    <w:rsid w:val="006658D2"/>
    <w:rsid w:val="0067076B"/>
    <w:rsid w:val="00677FF7"/>
    <w:rsid w:val="0068040B"/>
    <w:rsid w:val="0068157B"/>
    <w:rsid w:val="006827AF"/>
    <w:rsid w:val="00684369"/>
    <w:rsid w:val="00684931"/>
    <w:rsid w:val="00687187"/>
    <w:rsid w:val="006876AF"/>
    <w:rsid w:val="006878B8"/>
    <w:rsid w:val="006908B5"/>
    <w:rsid w:val="0069223B"/>
    <w:rsid w:val="0069375E"/>
    <w:rsid w:val="0069387D"/>
    <w:rsid w:val="00695831"/>
    <w:rsid w:val="00695BC1"/>
    <w:rsid w:val="00695C69"/>
    <w:rsid w:val="00697266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469"/>
    <w:rsid w:val="006F670C"/>
    <w:rsid w:val="0070000F"/>
    <w:rsid w:val="007001F1"/>
    <w:rsid w:val="00700CFE"/>
    <w:rsid w:val="00701577"/>
    <w:rsid w:val="00705999"/>
    <w:rsid w:val="00706844"/>
    <w:rsid w:val="007068B0"/>
    <w:rsid w:val="00710153"/>
    <w:rsid w:val="00711321"/>
    <w:rsid w:val="0071419A"/>
    <w:rsid w:val="007164C2"/>
    <w:rsid w:val="00716637"/>
    <w:rsid w:val="0071706E"/>
    <w:rsid w:val="00720923"/>
    <w:rsid w:val="00720D3B"/>
    <w:rsid w:val="007238CE"/>
    <w:rsid w:val="0072611E"/>
    <w:rsid w:val="00726B48"/>
    <w:rsid w:val="00726F42"/>
    <w:rsid w:val="0072780B"/>
    <w:rsid w:val="00730478"/>
    <w:rsid w:val="00731557"/>
    <w:rsid w:val="00731607"/>
    <w:rsid w:val="007325F2"/>
    <w:rsid w:val="00735590"/>
    <w:rsid w:val="007373A7"/>
    <w:rsid w:val="00737698"/>
    <w:rsid w:val="007403FF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37DF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1E33"/>
    <w:rsid w:val="0078500B"/>
    <w:rsid w:val="00785C20"/>
    <w:rsid w:val="0079464B"/>
    <w:rsid w:val="00796129"/>
    <w:rsid w:val="0079687D"/>
    <w:rsid w:val="007970A2"/>
    <w:rsid w:val="007A1CB4"/>
    <w:rsid w:val="007A5F19"/>
    <w:rsid w:val="007B29F9"/>
    <w:rsid w:val="007C110A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15FB"/>
    <w:rsid w:val="00824457"/>
    <w:rsid w:val="00826FF1"/>
    <w:rsid w:val="0082783F"/>
    <w:rsid w:val="00827DA1"/>
    <w:rsid w:val="0083058E"/>
    <w:rsid w:val="008305FA"/>
    <w:rsid w:val="00831C63"/>
    <w:rsid w:val="008322F7"/>
    <w:rsid w:val="00832797"/>
    <w:rsid w:val="0083291E"/>
    <w:rsid w:val="008334FB"/>
    <w:rsid w:val="00834D4B"/>
    <w:rsid w:val="008360B9"/>
    <w:rsid w:val="0083653A"/>
    <w:rsid w:val="008367B6"/>
    <w:rsid w:val="00840BC3"/>
    <w:rsid w:val="0084395C"/>
    <w:rsid w:val="0084483F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544E"/>
    <w:rsid w:val="0086658F"/>
    <w:rsid w:val="00870049"/>
    <w:rsid w:val="00870DA1"/>
    <w:rsid w:val="00871D90"/>
    <w:rsid w:val="00872D0B"/>
    <w:rsid w:val="00875E2E"/>
    <w:rsid w:val="00876108"/>
    <w:rsid w:val="008810A2"/>
    <w:rsid w:val="008824D7"/>
    <w:rsid w:val="008838DD"/>
    <w:rsid w:val="00887059"/>
    <w:rsid w:val="00891401"/>
    <w:rsid w:val="008920EF"/>
    <w:rsid w:val="008971CE"/>
    <w:rsid w:val="008A1D0A"/>
    <w:rsid w:val="008A232F"/>
    <w:rsid w:val="008A2C73"/>
    <w:rsid w:val="008A43A0"/>
    <w:rsid w:val="008A76FC"/>
    <w:rsid w:val="008A7FFD"/>
    <w:rsid w:val="008B1875"/>
    <w:rsid w:val="008B1CFA"/>
    <w:rsid w:val="008B1F49"/>
    <w:rsid w:val="008B23EF"/>
    <w:rsid w:val="008B3EAA"/>
    <w:rsid w:val="008B43B4"/>
    <w:rsid w:val="008B50CD"/>
    <w:rsid w:val="008B51EB"/>
    <w:rsid w:val="008B5EAF"/>
    <w:rsid w:val="008B5EF5"/>
    <w:rsid w:val="008B6181"/>
    <w:rsid w:val="008C0D99"/>
    <w:rsid w:val="008C2208"/>
    <w:rsid w:val="008C293C"/>
    <w:rsid w:val="008C4FBD"/>
    <w:rsid w:val="008C745B"/>
    <w:rsid w:val="008D2D7A"/>
    <w:rsid w:val="008D3A3C"/>
    <w:rsid w:val="008D4DE7"/>
    <w:rsid w:val="008D5BAF"/>
    <w:rsid w:val="008D5EB8"/>
    <w:rsid w:val="008D6B2C"/>
    <w:rsid w:val="008D7955"/>
    <w:rsid w:val="008E0011"/>
    <w:rsid w:val="008E042C"/>
    <w:rsid w:val="008E0477"/>
    <w:rsid w:val="008E0599"/>
    <w:rsid w:val="008E18F4"/>
    <w:rsid w:val="008E3746"/>
    <w:rsid w:val="008E54C3"/>
    <w:rsid w:val="008E59DC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493D"/>
    <w:rsid w:val="00916673"/>
    <w:rsid w:val="009209E4"/>
    <w:rsid w:val="00921787"/>
    <w:rsid w:val="009227E1"/>
    <w:rsid w:val="00927103"/>
    <w:rsid w:val="00927320"/>
    <w:rsid w:val="00930311"/>
    <w:rsid w:val="00930CB9"/>
    <w:rsid w:val="0093182D"/>
    <w:rsid w:val="00933A94"/>
    <w:rsid w:val="00934007"/>
    <w:rsid w:val="00934B94"/>
    <w:rsid w:val="00935955"/>
    <w:rsid w:val="00937440"/>
    <w:rsid w:val="00937CCC"/>
    <w:rsid w:val="009404CF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1BA"/>
    <w:rsid w:val="009636AF"/>
    <w:rsid w:val="009642DB"/>
    <w:rsid w:val="00964EE7"/>
    <w:rsid w:val="009666F5"/>
    <w:rsid w:val="00966763"/>
    <w:rsid w:val="0096718D"/>
    <w:rsid w:val="00970B44"/>
    <w:rsid w:val="00970C03"/>
    <w:rsid w:val="00971F17"/>
    <w:rsid w:val="00973B90"/>
    <w:rsid w:val="0097473F"/>
    <w:rsid w:val="009765BD"/>
    <w:rsid w:val="0098006C"/>
    <w:rsid w:val="00983B79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54E1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6E0B"/>
    <w:rsid w:val="009C07FC"/>
    <w:rsid w:val="009C1BC8"/>
    <w:rsid w:val="009C389A"/>
    <w:rsid w:val="009C3D48"/>
    <w:rsid w:val="009D1787"/>
    <w:rsid w:val="009D3E16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2DD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3535"/>
    <w:rsid w:val="00A3721F"/>
    <w:rsid w:val="00A37570"/>
    <w:rsid w:val="00A476ED"/>
    <w:rsid w:val="00A50B45"/>
    <w:rsid w:val="00A514CD"/>
    <w:rsid w:val="00A526B6"/>
    <w:rsid w:val="00A52A59"/>
    <w:rsid w:val="00A52ACC"/>
    <w:rsid w:val="00A5452B"/>
    <w:rsid w:val="00A5471E"/>
    <w:rsid w:val="00A554D5"/>
    <w:rsid w:val="00A56830"/>
    <w:rsid w:val="00A57BDC"/>
    <w:rsid w:val="00A60480"/>
    <w:rsid w:val="00A6169D"/>
    <w:rsid w:val="00A63F48"/>
    <w:rsid w:val="00A64AB2"/>
    <w:rsid w:val="00A64BD3"/>
    <w:rsid w:val="00A6596D"/>
    <w:rsid w:val="00A6690A"/>
    <w:rsid w:val="00A66B87"/>
    <w:rsid w:val="00A67125"/>
    <w:rsid w:val="00A67EA6"/>
    <w:rsid w:val="00A70CEA"/>
    <w:rsid w:val="00A70DC8"/>
    <w:rsid w:val="00A70FB4"/>
    <w:rsid w:val="00A717DC"/>
    <w:rsid w:val="00A71EE0"/>
    <w:rsid w:val="00A7441F"/>
    <w:rsid w:val="00A74D1A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190E"/>
    <w:rsid w:val="00AB321F"/>
    <w:rsid w:val="00AB48B7"/>
    <w:rsid w:val="00AB5249"/>
    <w:rsid w:val="00AB6214"/>
    <w:rsid w:val="00AC1603"/>
    <w:rsid w:val="00AC18AC"/>
    <w:rsid w:val="00AC1F6F"/>
    <w:rsid w:val="00AC3441"/>
    <w:rsid w:val="00AD0ED0"/>
    <w:rsid w:val="00AD29D5"/>
    <w:rsid w:val="00AD3B5F"/>
    <w:rsid w:val="00AD44EA"/>
    <w:rsid w:val="00AD6887"/>
    <w:rsid w:val="00AD6D3B"/>
    <w:rsid w:val="00AD7DCC"/>
    <w:rsid w:val="00AD7FB0"/>
    <w:rsid w:val="00AE0121"/>
    <w:rsid w:val="00AE0459"/>
    <w:rsid w:val="00AE1395"/>
    <w:rsid w:val="00AE2E54"/>
    <w:rsid w:val="00AE30AE"/>
    <w:rsid w:val="00AE62A5"/>
    <w:rsid w:val="00AE765D"/>
    <w:rsid w:val="00AE7E9D"/>
    <w:rsid w:val="00AF04CB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37C"/>
    <w:rsid w:val="00B03533"/>
    <w:rsid w:val="00B04FE0"/>
    <w:rsid w:val="00B05A2A"/>
    <w:rsid w:val="00B06396"/>
    <w:rsid w:val="00B0762A"/>
    <w:rsid w:val="00B1063B"/>
    <w:rsid w:val="00B10C28"/>
    <w:rsid w:val="00B11D8B"/>
    <w:rsid w:val="00B12EC7"/>
    <w:rsid w:val="00B1350E"/>
    <w:rsid w:val="00B14636"/>
    <w:rsid w:val="00B14ABB"/>
    <w:rsid w:val="00B16B21"/>
    <w:rsid w:val="00B207B4"/>
    <w:rsid w:val="00B2327F"/>
    <w:rsid w:val="00B238C9"/>
    <w:rsid w:val="00B244B1"/>
    <w:rsid w:val="00B245C9"/>
    <w:rsid w:val="00B257B6"/>
    <w:rsid w:val="00B25D5F"/>
    <w:rsid w:val="00B2681F"/>
    <w:rsid w:val="00B268F3"/>
    <w:rsid w:val="00B27389"/>
    <w:rsid w:val="00B27391"/>
    <w:rsid w:val="00B27476"/>
    <w:rsid w:val="00B30170"/>
    <w:rsid w:val="00B30707"/>
    <w:rsid w:val="00B31400"/>
    <w:rsid w:val="00B31D8A"/>
    <w:rsid w:val="00B33831"/>
    <w:rsid w:val="00B33994"/>
    <w:rsid w:val="00B356DB"/>
    <w:rsid w:val="00B35F1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090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662"/>
    <w:rsid w:val="00B75996"/>
    <w:rsid w:val="00B76F31"/>
    <w:rsid w:val="00B82B06"/>
    <w:rsid w:val="00B8341B"/>
    <w:rsid w:val="00B83699"/>
    <w:rsid w:val="00B84226"/>
    <w:rsid w:val="00B84498"/>
    <w:rsid w:val="00B86116"/>
    <w:rsid w:val="00B87DF6"/>
    <w:rsid w:val="00B903CB"/>
    <w:rsid w:val="00B90512"/>
    <w:rsid w:val="00B90C3A"/>
    <w:rsid w:val="00B9176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05FB"/>
    <w:rsid w:val="00BF2CA9"/>
    <w:rsid w:val="00BF2F32"/>
    <w:rsid w:val="00BF3BBE"/>
    <w:rsid w:val="00BF418F"/>
    <w:rsid w:val="00BF5956"/>
    <w:rsid w:val="00BF5B4A"/>
    <w:rsid w:val="00BF63B7"/>
    <w:rsid w:val="00BF7E17"/>
    <w:rsid w:val="00C001CA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46FF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19BD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D83"/>
    <w:rsid w:val="00C57E7B"/>
    <w:rsid w:val="00C57FC3"/>
    <w:rsid w:val="00C6102D"/>
    <w:rsid w:val="00C62565"/>
    <w:rsid w:val="00C67C6D"/>
    <w:rsid w:val="00C716B6"/>
    <w:rsid w:val="00C72D2A"/>
    <w:rsid w:val="00C759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379"/>
    <w:rsid w:val="00C97732"/>
    <w:rsid w:val="00CA3A4B"/>
    <w:rsid w:val="00CA7125"/>
    <w:rsid w:val="00CB08F0"/>
    <w:rsid w:val="00CB0EC3"/>
    <w:rsid w:val="00CB107F"/>
    <w:rsid w:val="00CB138E"/>
    <w:rsid w:val="00CB198B"/>
    <w:rsid w:val="00CB1E24"/>
    <w:rsid w:val="00CB1F7A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6898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3CB7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3D7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FB8"/>
    <w:rsid w:val="00D61998"/>
    <w:rsid w:val="00D659C7"/>
    <w:rsid w:val="00D65ECC"/>
    <w:rsid w:val="00D665FF"/>
    <w:rsid w:val="00D70EF8"/>
    <w:rsid w:val="00D74822"/>
    <w:rsid w:val="00D74B3D"/>
    <w:rsid w:val="00D7523D"/>
    <w:rsid w:val="00D7592C"/>
    <w:rsid w:val="00D80785"/>
    <w:rsid w:val="00D819E3"/>
    <w:rsid w:val="00D85774"/>
    <w:rsid w:val="00D85CEB"/>
    <w:rsid w:val="00D85EFB"/>
    <w:rsid w:val="00D85FE0"/>
    <w:rsid w:val="00D8674D"/>
    <w:rsid w:val="00D9088D"/>
    <w:rsid w:val="00D90EC8"/>
    <w:rsid w:val="00D91D61"/>
    <w:rsid w:val="00D93712"/>
    <w:rsid w:val="00D9377A"/>
    <w:rsid w:val="00D95A85"/>
    <w:rsid w:val="00D96FD3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3BFB"/>
    <w:rsid w:val="00DC4600"/>
    <w:rsid w:val="00DC4D42"/>
    <w:rsid w:val="00DC5E81"/>
    <w:rsid w:val="00DC632B"/>
    <w:rsid w:val="00DC69CF"/>
    <w:rsid w:val="00DC6D73"/>
    <w:rsid w:val="00DC7526"/>
    <w:rsid w:val="00DD00F8"/>
    <w:rsid w:val="00DD29F7"/>
    <w:rsid w:val="00DD2A95"/>
    <w:rsid w:val="00DD51B8"/>
    <w:rsid w:val="00DE18F2"/>
    <w:rsid w:val="00DE1E0E"/>
    <w:rsid w:val="00DE6CDC"/>
    <w:rsid w:val="00DF07E5"/>
    <w:rsid w:val="00DF671B"/>
    <w:rsid w:val="00DF7808"/>
    <w:rsid w:val="00DF7A69"/>
    <w:rsid w:val="00E00D9C"/>
    <w:rsid w:val="00E0333D"/>
    <w:rsid w:val="00E0386B"/>
    <w:rsid w:val="00E0693B"/>
    <w:rsid w:val="00E07547"/>
    <w:rsid w:val="00E115C4"/>
    <w:rsid w:val="00E11BE8"/>
    <w:rsid w:val="00E12363"/>
    <w:rsid w:val="00E12786"/>
    <w:rsid w:val="00E13CC6"/>
    <w:rsid w:val="00E1574A"/>
    <w:rsid w:val="00E16782"/>
    <w:rsid w:val="00E21051"/>
    <w:rsid w:val="00E23FA7"/>
    <w:rsid w:val="00E260CB"/>
    <w:rsid w:val="00E26A90"/>
    <w:rsid w:val="00E27238"/>
    <w:rsid w:val="00E27AFC"/>
    <w:rsid w:val="00E344E4"/>
    <w:rsid w:val="00E35270"/>
    <w:rsid w:val="00E3633A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21B4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9664B"/>
    <w:rsid w:val="00EA0C66"/>
    <w:rsid w:val="00EA1E99"/>
    <w:rsid w:val="00EA30DD"/>
    <w:rsid w:val="00EA4F63"/>
    <w:rsid w:val="00EA67E2"/>
    <w:rsid w:val="00EA6CAF"/>
    <w:rsid w:val="00EB2DB2"/>
    <w:rsid w:val="00EB3376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48B2"/>
    <w:rsid w:val="00EC678B"/>
    <w:rsid w:val="00EC6B60"/>
    <w:rsid w:val="00EC785E"/>
    <w:rsid w:val="00ED10AD"/>
    <w:rsid w:val="00ED29EB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17D6"/>
    <w:rsid w:val="00F229E2"/>
    <w:rsid w:val="00F22ADC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3886"/>
    <w:rsid w:val="00F445EA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447B"/>
    <w:rsid w:val="00F64505"/>
    <w:rsid w:val="00F65484"/>
    <w:rsid w:val="00F67766"/>
    <w:rsid w:val="00F677C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871"/>
    <w:rsid w:val="00F86BF5"/>
    <w:rsid w:val="00F873BB"/>
    <w:rsid w:val="00F901CE"/>
    <w:rsid w:val="00F9042F"/>
    <w:rsid w:val="00F91A5E"/>
    <w:rsid w:val="00F91ECA"/>
    <w:rsid w:val="00F95E9E"/>
    <w:rsid w:val="00FA4B58"/>
    <w:rsid w:val="00FA527A"/>
    <w:rsid w:val="00FA6BC7"/>
    <w:rsid w:val="00FB0EE1"/>
    <w:rsid w:val="00FB1136"/>
    <w:rsid w:val="00FB3469"/>
    <w:rsid w:val="00FB45BC"/>
    <w:rsid w:val="00FB797D"/>
    <w:rsid w:val="00FC0207"/>
    <w:rsid w:val="00FD0733"/>
    <w:rsid w:val="00FD073F"/>
    <w:rsid w:val="00FD0AFA"/>
    <w:rsid w:val="00FD1BA5"/>
    <w:rsid w:val="00FD46EF"/>
    <w:rsid w:val="00FD51D8"/>
    <w:rsid w:val="00FD53F9"/>
    <w:rsid w:val="00FD5FDB"/>
    <w:rsid w:val="00FD63AC"/>
    <w:rsid w:val="00FE32BD"/>
    <w:rsid w:val="00FE470C"/>
    <w:rsid w:val="00FE7115"/>
    <w:rsid w:val="00FE722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9D5942B7-1C22-4BA7-984D-0E3D210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styleId="afe">
    <w:name w:val="FollowedHyperlink"/>
    <w:basedOn w:val="a0"/>
    <w:uiPriority w:val="99"/>
    <w:semiHidden/>
    <w:unhideWhenUsed/>
    <w:rsid w:val="005C43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@redcross.org.ua" TargetMode="External"/><Relationship Id="rId17" Type="http://schemas.openxmlformats.org/officeDocument/2006/relationships/hyperlink" Target="mailto:y.naumchuk@redcross.org.u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cross.org.ua/informa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ountancyage.com/rankings/top-5050-accountancy-firms-202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.committee@redcross.org.u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3704</Words>
  <Characters>26940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30583</CharactersWithSpaces>
  <SharedDoc>false</SharedDoc>
  <HLinks>
    <vt:vector size="42" baseType="variant"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mailto:y.naumchuk@redcross.org.ua</vt:lpwstr>
      </vt:variant>
      <vt:variant>
        <vt:lpwstr/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12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9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https://www.accountancyage.com/rankings/top-5050-accountancy-firms-2024/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211</cp:revision>
  <cp:lastPrinted>2023-12-29T18:52:00Z</cp:lastPrinted>
  <dcterms:created xsi:type="dcterms:W3CDTF">2024-10-29T19:58:00Z</dcterms:created>
  <dcterms:modified xsi:type="dcterms:W3CDTF">2025-08-27T11:49:00Z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