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2DD53735"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34AED6E1"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C36AE2">
        <w:rPr>
          <w:rFonts w:ascii="Arial" w:hAnsi="Arial" w:cs="Arial"/>
          <w:b/>
          <w:color w:val="000000"/>
          <w:sz w:val="20"/>
          <w:szCs w:val="20"/>
          <w:lang w:val="uk-UA"/>
        </w:rPr>
        <w:t>Київ</w:t>
      </w:r>
      <w:r w:rsidRPr="00553AEA">
        <w:rPr>
          <w:rFonts w:ascii="Arial" w:hAnsi="Arial" w:cs="Arial"/>
          <w:b/>
          <w:color w:val="000000"/>
          <w:sz w:val="20"/>
          <w:szCs w:val="20"/>
          <w:lang w:val="uk-UA"/>
        </w:rPr>
        <w:t xml:space="preserve">              </w:t>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C36AE2">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599B9A14"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334D4C"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60419E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2022 року</w:t>
      </w:r>
      <w:r w:rsidRPr="00553AEA">
        <w:rPr>
          <w:rFonts w:ascii="Arial" w:hAnsi="Arial" w:cs="Arial"/>
          <w:color w:val="000000"/>
          <w:sz w:val="20"/>
          <w:szCs w:val="20"/>
          <w:lang w:val="uk-UA"/>
        </w:rPr>
        <w:t>,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0B2E021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21D3E2ED"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lastRenderedPageBreak/>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2B690741" w14:textId="77777777" w:rsidR="007B5122" w:rsidRPr="00553AEA" w:rsidRDefault="007B5122">
      <w:pPr>
        <w:spacing w:after="0" w:line="240" w:lineRule="auto"/>
        <w:ind w:left="360"/>
        <w:rPr>
          <w:rFonts w:ascii="Arial" w:hAnsi="Arial" w:cs="Arial"/>
          <w:color w:val="000000"/>
          <w:sz w:val="20"/>
          <w:szCs w:val="20"/>
          <w:lang w:val="uk-UA"/>
        </w:rPr>
      </w:pP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2A8B9E53" w14:textId="77777777" w:rsidR="007B5122" w:rsidRPr="00553AEA" w:rsidRDefault="007B5122">
      <w:pPr>
        <w:spacing w:after="0"/>
        <w:jc w:val="both"/>
        <w:rPr>
          <w:rFonts w:ascii="Arial" w:hAnsi="Arial" w:cs="Arial"/>
          <w:b/>
          <w:color w:val="000000"/>
          <w:sz w:val="20"/>
          <w:szCs w:val="20"/>
          <w:lang w:val="uk-UA"/>
        </w:rPr>
      </w:pPr>
    </w:p>
    <w:p w14:paraId="49459CB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w:t>
      </w:r>
      <w:r w:rsidRPr="00553AEA">
        <w:rPr>
          <w:rFonts w:ascii="Arial" w:hAnsi="Arial" w:cs="Arial"/>
          <w:color w:val="000000"/>
          <w:sz w:val="20"/>
          <w:szCs w:val="20"/>
          <w:lang w:val="uk-UA"/>
        </w:rPr>
        <w:lastRenderedPageBreak/>
        <w:t>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lastRenderedPageBreak/>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410E54B9" w14:textId="77777777" w:rsidR="007B5122" w:rsidRPr="00553AEA" w:rsidRDefault="007B5122" w:rsidP="00372C51">
      <w:pPr>
        <w:rPr>
          <w:rFonts w:ascii="Arial" w:hAnsi="Arial" w:cs="Arial"/>
          <w:color w:val="000000"/>
          <w:sz w:val="20"/>
          <w:szCs w:val="20"/>
          <w:lang w:val="uk-UA"/>
        </w:rPr>
      </w:pP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w:t>
      </w:r>
      <w:r w:rsidRPr="00553AEA">
        <w:rPr>
          <w:rFonts w:ascii="Arial" w:hAnsi="Arial" w:cs="Arial"/>
          <w:color w:val="000000"/>
          <w:sz w:val="20"/>
          <w:szCs w:val="20"/>
          <w:lang w:val="uk-UA"/>
        </w:rPr>
        <w:lastRenderedPageBreak/>
        <w:t>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73B2BAA"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553AEA" w:rsidRDefault="00C43A49" w:rsidP="00372C51">
      <w:pPr>
        <w:pStyle w:val="ab"/>
        <w:spacing w:after="0"/>
        <w:ind w:left="709"/>
        <w:jc w:val="both"/>
        <w:rPr>
          <w:rFonts w:ascii="Arial" w:hAnsi="Arial" w:cs="Arial"/>
          <w:color w:val="000000"/>
          <w:sz w:val="20"/>
          <w:szCs w:val="20"/>
          <w:lang w:val="uk-UA"/>
        </w:rPr>
      </w:pPr>
      <w:r w:rsidRPr="00553AEA">
        <w:rPr>
          <w:rFonts w:ascii="Arial" w:hAnsi="Arial" w:cs="Arial"/>
          <w:sz w:val="20"/>
          <w:szCs w:val="20"/>
          <w:lang w:val="ru-RU"/>
        </w:rPr>
        <w:t xml:space="preserve">Таке </w:t>
      </w:r>
      <w:proofErr w:type="spellStart"/>
      <w:r w:rsidRPr="00553AEA">
        <w:rPr>
          <w:rFonts w:ascii="Arial" w:hAnsi="Arial" w:cs="Arial"/>
          <w:sz w:val="20"/>
          <w:szCs w:val="20"/>
          <w:lang w:val="ru-RU"/>
        </w:rPr>
        <w:t>повідомлення</w:t>
      </w:r>
      <w:proofErr w:type="spellEnd"/>
      <w:r w:rsidRPr="00553AEA">
        <w:rPr>
          <w:rFonts w:ascii="Arial" w:hAnsi="Arial" w:cs="Arial"/>
          <w:sz w:val="20"/>
          <w:szCs w:val="20"/>
          <w:lang w:val="ru-RU"/>
        </w:rPr>
        <w:t xml:space="preserve"> здійснюється шляхом </w:t>
      </w:r>
      <w:proofErr w:type="spellStart"/>
      <w:r w:rsidRPr="00553AEA">
        <w:rPr>
          <w:rFonts w:ascii="Arial" w:hAnsi="Arial" w:cs="Arial"/>
          <w:sz w:val="20"/>
          <w:szCs w:val="20"/>
          <w:lang w:val="ru-RU"/>
        </w:rPr>
        <w:t>направлення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цінного</w:t>
      </w:r>
      <w:proofErr w:type="spellEnd"/>
      <w:r w:rsidRPr="00553AEA">
        <w:rPr>
          <w:rFonts w:ascii="Arial" w:hAnsi="Arial" w:cs="Arial"/>
          <w:sz w:val="20"/>
          <w:szCs w:val="20"/>
          <w:lang w:val="ru-RU"/>
        </w:rPr>
        <w:t xml:space="preserve"> листа на </w:t>
      </w:r>
      <w:proofErr w:type="spellStart"/>
      <w:r w:rsidRPr="00553AEA">
        <w:rPr>
          <w:rFonts w:ascii="Arial" w:hAnsi="Arial" w:cs="Arial"/>
          <w:sz w:val="20"/>
          <w:szCs w:val="20"/>
          <w:lang w:val="ru-RU"/>
        </w:rPr>
        <w:t>поштову</w:t>
      </w:r>
      <w:proofErr w:type="spellEnd"/>
      <w:r w:rsidRPr="00553AEA">
        <w:rPr>
          <w:rFonts w:ascii="Arial" w:hAnsi="Arial" w:cs="Arial"/>
          <w:sz w:val="20"/>
          <w:szCs w:val="20"/>
          <w:lang w:val="ru-RU"/>
        </w:rPr>
        <w:t xml:space="preserve"> адресу Підрядника або листом на електронну пошту </w:t>
      </w:r>
      <w:proofErr w:type="gramStart"/>
      <w:r w:rsidRPr="00553AEA">
        <w:rPr>
          <w:rFonts w:ascii="Arial" w:hAnsi="Arial" w:cs="Arial"/>
          <w:sz w:val="20"/>
          <w:szCs w:val="20"/>
          <w:lang w:val="ru-RU"/>
        </w:rPr>
        <w:t>на адресу</w:t>
      </w:r>
      <w:proofErr w:type="gram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зазначену</w:t>
      </w:r>
      <w:proofErr w:type="spellEnd"/>
      <w:r w:rsidRPr="00553AEA">
        <w:rPr>
          <w:rFonts w:ascii="Arial" w:hAnsi="Arial" w:cs="Arial"/>
          <w:sz w:val="20"/>
          <w:szCs w:val="20"/>
          <w:lang w:val="ru-RU"/>
        </w:rPr>
        <w:t xml:space="preserve"> в </w:t>
      </w:r>
      <w:proofErr w:type="spellStart"/>
      <w:r w:rsidRPr="00553AEA">
        <w:rPr>
          <w:rFonts w:ascii="Arial" w:hAnsi="Arial" w:cs="Arial"/>
          <w:sz w:val="20"/>
          <w:szCs w:val="20"/>
          <w:lang w:val="ru-RU"/>
        </w:rPr>
        <w:t>реквізитах</w:t>
      </w:r>
      <w:proofErr w:type="spellEnd"/>
      <w:r w:rsidRPr="00553AEA">
        <w:rPr>
          <w:rFonts w:ascii="Arial" w:hAnsi="Arial" w:cs="Arial"/>
          <w:sz w:val="20"/>
          <w:szCs w:val="20"/>
          <w:lang w:val="ru-RU"/>
        </w:rPr>
        <w:t xml:space="preserve"> Договору.</w:t>
      </w:r>
    </w:p>
    <w:p w14:paraId="1E8879DC" w14:textId="63DE8903"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Підрядник відмовився взяти участь у складанні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 </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7900BF90" w14:textId="77777777" w:rsidR="007B5122" w:rsidRPr="00553AEA" w:rsidRDefault="007B5122">
      <w:pPr>
        <w:spacing w:after="0"/>
        <w:jc w:val="both"/>
        <w:rPr>
          <w:rFonts w:ascii="Arial" w:hAnsi="Arial" w:cs="Arial"/>
          <w:color w:val="000000"/>
          <w:sz w:val="20"/>
          <w:szCs w:val="20"/>
          <w:lang w:val="uk-UA"/>
        </w:rPr>
      </w:pP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443B541F"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27EA0032" w:rsidR="007B5122" w:rsidRPr="00553AEA" w:rsidRDefault="00B0218E" w:rsidP="003A361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w:t>
      </w:r>
      <w:r w:rsidRPr="00553AEA">
        <w:rPr>
          <w:rFonts w:ascii="Arial" w:hAnsi="Arial" w:cs="Arial"/>
          <w:color w:val="000000"/>
          <w:sz w:val="20"/>
          <w:szCs w:val="20"/>
          <w:lang w:val="uk-UA"/>
        </w:rPr>
        <w:lastRenderedPageBreak/>
        <w:t>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1B7B3E54"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76B566A1" w14:textId="77777777" w:rsidR="007B5122" w:rsidRPr="00553AEA" w:rsidRDefault="007B5122">
      <w:pPr>
        <w:spacing w:after="0"/>
        <w:jc w:val="both"/>
        <w:rPr>
          <w:rFonts w:ascii="Arial" w:hAnsi="Arial" w:cs="Arial"/>
          <w:color w:val="000000"/>
          <w:sz w:val="20"/>
          <w:szCs w:val="20"/>
          <w:lang w:val="uk-UA"/>
        </w:rPr>
      </w:pP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73AFFB2B" w14:textId="77777777" w:rsidR="007B5122" w:rsidRPr="00553AEA" w:rsidRDefault="007B5122">
      <w:pPr>
        <w:spacing w:after="0"/>
        <w:jc w:val="both"/>
        <w:rPr>
          <w:rFonts w:ascii="Arial" w:hAnsi="Arial" w:cs="Arial"/>
          <w:color w:val="000000"/>
          <w:sz w:val="20"/>
          <w:szCs w:val="20"/>
          <w:lang w:val="uk-UA"/>
        </w:rPr>
      </w:pP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1AD1915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акт</w:t>
      </w:r>
      <w:r w:rsidR="007E4BB1">
        <w:rPr>
          <w:rFonts w:ascii="Arial" w:hAnsi="Arial" w:cs="Arial"/>
          <w:color w:val="000000"/>
          <w:sz w:val="20"/>
          <w:szCs w:val="20"/>
          <w:lang w:val="uk-UA"/>
        </w:rPr>
        <w:t>у</w:t>
      </w:r>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02D4BE88" w14:textId="77777777" w:rsidR="007B5122" w:rsidRPr="00553AEA" w:rsidRDefault="007B5122">
      <w:pPr>
        <w:pStyle w:val="ab"/>
        <w:spacing w:after="0"/>
        <w:jc w:val="both"/>
        <w:rPr>
          <w:rFonts w:ascii="Arial" w:hAnsi="Arial" w:cs="Arial"/>
          <w:color w:val="000000"/>
          <w:sz w:val="20"/>
          <w:szCs w:val="20"/>
          <w:lang w:val="uk-UA"/>
        </w:rPr>
      </w:pP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Pr="00553AEA">
        <w:rPr>
          <w:rFonts w:ascii="Arial" w:hAnsi="Arial" w:cs="Arial"/>
          <w:color w:val="000000"/>
          <w:sz w:val="20"/>
          <w:szCs w:val="20"/>
          <w:lang w:val="uk-UA"/>
        </w:rPr>
        <w:lastRenderedPageBreak/>
        <w:t>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6F4D5C1A" w14:textId="77777777" w:rsidR="007B5122" w:rsidRPr="00553AEA" w:rsidRDefault="007B5122">
      <w:pPr>
        <w:pStyle w:val="ab"/>
        <w:spacing w:after="0"/>
        <w:jc w:val="both"/>
        <w:rPr>
          <w:rFonts w:ascii="Arial" w:hAnsi="Arial" w:cs="Arial"/>
          <w:color w:val="000000"/>
          <w:sz w:val="20"/>
          <w:szCs w:val="20"/>
          <w:lang w:val="uk-UA"/>
        </w:rPr>
      </w:pP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0CA50B45" w14:textId="77777777" w:rsidR="007B5122" w:rsidRPr="00553AEA" w:rsidRDefault="007B5122">
      <w:pPr>
        <w:pStyle w:val="ab"/>
        <w:spacing w:after="0"/>
        <w:jc w:val="both"/>
        <w:rPr>
          <w:rFonts w:ascii="Arial" w:hAnsi="Arial" w:cs="Arial"/>
          <w:color w:val="000000"/>
          <w:sz w:val="20"/>
          <w:szCs w:val="20"/>
          <w:lang w:val="uk-UA"/>
        </w:rPr>
      </w:pP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3099605A" w14:textId="77777777" w:rsidR="007B5122" w:rsidRPr="00553AEA" w:rsidRDefault="007B5122">
      <w:pPr>
        <w:pStyle w:val="ab"/>
        <w:spacing w:after="0"/>
        <w:jc w:val="both"/>
        <w:rPr>
          <w:rFonts w:ascii="Arial" w:hAnsi="Arial" w:cs="Arial"/>
          <w:color w:val="000000"/>
          <w:sz w:val="20"/>
          <w:szCs w:val="20"/>
          <w:highlight w:val="yellow"/>
          <w:lang w:val="uk-UA"/>
        </w:rPr>
      </w:pP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12B7DA90" w14:textId="77777777" w:rsidR="007B5122" w:rsidRPr="00553AEA" w:rsidRDefault="007B5122">
      <w:pPr>
        <w:pStyle w:val="ab"/>
        <w:spacing w:after="0"/>
        <w:jc w:val="both"/>
        <w:rPr>
          <w:rFonts w:ascii="Arial" w:hAnsi="Arial" w:cs="Arial"/>
          <w:color w:val="000000"/>
          <w:sz w:val="20"/>
          <w:szCs w:val="20"/>
          <w:lang w:val="uk-UA"/>
        </w:rPr>
      </w:pP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7423C1CF" w14:textId="77777777" w:rsidR="007B5122" w:rsidRPr="00553AEA" w:rsidRDefault="007B5122">
      <w:pPr>
        <w:pStyle w:val="ab"/>
        <w:spacing w:after="0"/>
        <w:jc w:val="both"/>
        <w:rPr>
          <w:rFonts w:ascii="Arial" w:hAnsi="Arial" w:cs="Arial"/>
          <w:color w:val="000000"/>
          <w:sz w:val="20"/>
          <w:szCs w:val="20"/>
          <w:lang w:val="uk-UA"/>
        </w:rPr>
      </w:pP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D262E1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F27C56">
        <w:rPr>
          <w:rFonts w:ascii="Arial" w:hAnsi="Arial" w:cs="Arial"/>
          <w:color w:val="000000"/>
          <w:sz w:val="20"/>
          <w:szCs w:val="20"/>
          <w:highlight w:val="yellow"/>
          <w:lang w:val="uk-UA"/>
        </w:rPr>
        <w:t>_________</w:t>
      </w:r>
      <w:r w:rsidR="000B123A" w:rsidRPr="00553AEA">
        <w:rPr>
          <w:rFonts w:ascii="Arial" w:hAnsi="Arial" w:cs="Arial"/>
          <w:color w:val="000000"/>
          <w:sz w:val="20"/>
          <w:szCs w:val="20"/>
          <w:highlight w:val="yellow"/>
          <w:lang w:val="uk-UA"/>
        </w:rPr>
        <w:t>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9A54408" w14:textId="77777777" w:rsidR="007B5122" w:rsidRPr="00553AEA" w:rsidRDefault="007B5122">
      <w:pPr>
        <w:spacing w:after="0"/>
        <w:jc w:val="both"/>
        <w:rPr>
          <w:rFonts w:ascii="Arial" w:hAnsi="Arial" w:cs="Arial"/>
          <w:color w:val="000000"/>
          <w:sz w:val="20"/>
          <w:szCs w:val="20"/>
          <w:lang w:val="uk-UA"/>
        </w:rPr>
      </w:pP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57163BE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3986201C" w14:textId="77777777"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Pr="00553AEA">
              <w:rPr>
                <w:rFonts w:ascii="Arial" w:eastAsia="Times New Roman" w:hAnsi="Arial" w:cs="Arial"/>
              </w:rPr>
              <w:t>01024, м. Київ, вул. Пушкінська, 30</w:t>
            </w:r>
          </w:p>
        </w:tc>
      </w:tr>
      <w:tr w:rsidR="007B5122" w:rsidRPr="00553AEA" w14:paraId="502E7F45" w14:textId="77777777">
        <w:tc>
          <w:tcPr>
            <w:tcW w:w="9395" w:type="dxa"/>
            <w:tcBorders>
              <w:top w:val="nil"/>
              <w:left w:val="nil"/>
              <w:bottom w:val="nil"/>
              <w:right w:val="nil"/>
            </w:tcBorders>
          </w:tcPr>
          <w:p w14:paraId="0F5BCF5B"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Pr="00553AEA">
              <w:rPr>
                <w:rFonts w:ascii="Arial" w:eastAsia="Times New Roman" w:hAnsi="Arial" w:cs="Arial"/>
              </w:rPr>
              <w:t>01024, м. Київ, вул. Пушкінська,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1436C6"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2A2AC647" w14:textId="77777777" w:rsidR="007B5122" w:rsidRPr="00553AEA" w:rsidRDefault="007B5122">
      <w:pPr>
        <w:spacing w:after="0"/>
        <w:jc w:val="right"/>
        <w:rPr>
          <w:rFonts w:ascii="Arial" w:hAnsi="Arial" w:cs="Arial"/>
          <w:b/>
          <w:sz w:val="20"/>
          <w:szCs w:val="20"/>
          <w:lang w:val="uk-UA"/>
        </w:rPr>
      </w:pPr>
    </w:p>
    <w:p w14:paraId="3521F1F5" w14:textId="77777777" w:rsidR="00CC2A4C" w:rsidRPr="00553AEA" w:rsidRDefault="00CC2A4C">
      <w:pPr>
        <w:spacing w:after="0"/>
        <w:jc w:val="right"/>
        <w:rPr>
          <w:rFonts w:ascii="Arial" w:hAnsi="Arial" w:cs="Arial"/>
          <w:b/>
          <w:sz w:val="20"/>
          <w:szCs w:val="20"/>
          <w:lang w:val="uk-UA"/>
        </w:rPr>
      </w:pPr>
    </w:p>
    <w:p w14:paraId="3CE0D21E" w14:textId="77777777" w:rsidR="00CC2A4C" w:rsidRPr="00553AEA" w:rsidRDefault="00CC2A4C">
      <w:pPr>
        <w:spacing w:after="0"/>
        <w:jc w:val="right"/>
        <w:rPr>
          <w:rFonts w:ascii="Arial" w:hAnsi="Arial" w:cs="Arial"/>
          <w:b/>
          <w:sz w:val="20"/>
          <w:szCs w:val="20"/>
          <w:lang w:val="uk-UA"/>
        </w:rPr>
      </w:pPr>
    </w:p>
    <w:p w14:paraId="7A7BDA83" w14:textId="77777777" w:rsidR="00CC2A4C" w:rsidRPr="00553AEA" w:rsidRDefault="00CC2A4C">
      <w:pPr>
        <w:spacing w:after="0"/>
        <w:jc w:val="right"/>
        <w:rPr>
          <w:rFonts w:ascii="Arial" w:hAnsi="Arial" w:cs="Arial"/>
          <w:b/>
          <w:sz w:val="20"/>
          <w:szCs w:val="20"/>
          <w:lang w:val="uk-UA"/>
        </w:rPr>
      </w:pPr>
    </w:p>
    <w:p w14:paraId="4201ACB3" w14:textId="77777777" w:rsidR="009851F4" w:rsidRPr="00553AEA" w:rsidRDefault="009851F4" w:rsidP="00CC2A4C">
      <w:pPr>
        <w:spacing w:after="0"/>
        <w:ind w:left="5529"/>
        <w:rPr>
          <w:rFonts w:ascii="Arial" w:hAnsi="Arial" w:cs="Arial"/>
          <w:b/>
          <w:sz w:val="20"/>
          <w:szCs w:val="20"/>
          <w:lang w:val="uk-UA"/>
        </w:rPr>
      </w:pPr>
    </w:p>
    <w:p w14:paraId="417F6665" w14:textId="77777777" w:rsidR="009851F4" w:rsidRPr="00553AEA" w:rsidRDefault="009851F4" w:rsidP="00CC2A4C">
      <w:pPr>
        <w:spacing w:after="0"/>
        <w:ind w:left="5529"/>
        <w:rPr>
          <w:rFonts w:ascii="Arial" w:hAnsi="Arial" w:cs="Arial"/>
          <w:b/>
          <w:sz w:val="20"/>
          <w:szCs w:val="20"/>
          <w:lang w:val="uk-UA"/>
        </w:rPr>
      </w:pPr>
    </w:p>
    <w:p w14:paraId="7584C8EC" w14:textId="554B36BA"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34183AA0"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2022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4A1E434B"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2022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07B8E829" w14:textId="77777777" w:rsidR="007B5122" w:rsidRPr="00553AEA" w:rsidRDefault="007B5122">
      <w:pPr>
        <w:spacing w:after="0"/>
        <w:jc w:val="both"/>
        <w:rPr>
          <w:rFonts w:ascii="Arial" w:hAnsi="Arial" w:cs="Arial"/>
          <w:color w:val="000000"/>
          <w:sz w:val="20"/>
          <w:szCs w:val="20"/>
          <w:lang w:val="uk-UA"/>
        </w:rPr>
      </w:pPr>
    </w:p>
    <w:p w14:paraId="51F6B01E" w14:textId="77777777"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w:t>
      </w:r>
      <w:r w:rsidRPr="00553AEA">
        <w:rPr>
          <w:rFonts w:ascii="Arial" w:hAnsi="Arial" w:cs="Arial"/>
          <w:color w:val="000000"/>
          <w:sz w:val="20"/>
          <w:szCs w:val="20"/>
          <w:lang w:val="uk-UA"/>
        </w:rPr>
        <w:lastRenderedPageBreak/>
        <w:t xml:space="preserve">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26B34280"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158551CE" w14:textId="77777777" w:rsidR="009851F4" w:rsidRPr="00553AEA" w:rsidRDefault="009851F4">
      <w:pPr>
        <w:pStyle w:val="ab"/>
        <w:spacing w:after="0"/>
        <w:jc w:val="both"/>
        <w:rPr>
          <w:rFonts w:ascii="Arial" w:hAnsi="Arial" w:cs="Arial"/>
          <w:color w:val="000000"/>
          <w:sz w:val="20"/>
          <w:szCs w:val="20"/>
          <w:lang w:val="uk-UA"/>
        </w:rPr>
      </w:pPr>
    </w:p>
    <w:p w14:paraId="354B9821" w14:textId="77777777" w:rsidR="009851F4" w:rsidRPr="00553AEA" w:rsidRDefault="009851F4">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47E3DBEE"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891 805 грн 00 коп. </w:t>
      </w:r>
      <w:r w:rsidRPr="00553AEA">
        <w:rPr>
          <w:rFonts w:ascii="Arial" w:hAnsi="Arial" w:cs="Arial"/>
          <w:sz w:val="20"/>
          <w:szCs w:val="20"/>
          <w:lang w:val="uk-UA"/>
        </w:rPr>
        <w:t xml:space="preserve">(вісімсот дев’яносто одна тисяча вісімсот п’ять гривень 00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7D330C34" w14:textId="77777777" w:rsidR="007B5122" w:rsidRPr="00553AEA" w:rsidRDefault="007B5122">
            <w:pPr>
              <w:spacing w:after="0" w:line="240" w:lineRule="auto"/>
              <w:jc w:val="center"/>
              <w:rPr>
                <w:rFonts w:ascii="Arial" w:hAnsi="Arial" w:cs="Arial"/>
                <w:b/>
              </w:rPr>
            </w:pPr>
          </w:p>
          <w:p w14:paraId="2A682931" w14:textId="77777777" w:rsidR="007B5122" w:rsidRPr="00553AEA" w:rsidRDefault="007B5122">
            <w:pPr>
              <w:spacing w:after="0" w:line="240" w:lineRule="auto"/>
              <w:jc w:val="center"/>
              <w:rPr>
                <w:rFonts w:ascii="Arial" w:hAnsi="Arial" w:cs="Arial"/>
                <w:b/>
              </w:rPr>
            </w:pPr>
          </w:p>
        </w:tc>
      </w:tr>
      <w:tr w:rsidR="007B5122" w:rsidRPr="001436C6"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247E413A"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4BF2BA0C" w14:textId="77777777" w:rsidR="007B5122" w:rsidRPr="00553AEA" w:rsidRDefault="007B5122">
      <w:pPr>
        <w:spacing w:after="0"/>
        <w:jc w:val="right"/>
        <w:rPr>
          <w:rFonts w:ascii="Arial" w:hAnsi="Arial" w:cs="Arial"/>
          <w:color w:val="000000"/>
          <w:sz w:val="20"/>
          <w:szCs w:val="20"/>
          <w:lang w:val="uk-UA"/>
        </w:rPr>
      </w:pPr>
    </w:p>
    <w:p w14:paraId="39D84011" w14:textId="77777777" w:rsidR="007B5122" w:rsidRPr="00553AEA" w:rsidRDefault="00B0218E">
      <w:pPr>
        <w:rPr>
          <w:rFonts w:ascii="Arial" w:hAnsi="Arial" w:cs="Arial"/>
          <w:color w:val="000000"/>
          <w:sz w:val="20"/>
          <w:szCs w:val="20"/>
          <w:lang w:val="uk-UA"/>
        </w:rPr>
      </w:pPr>
      <w:r w:rsidRPr="00553AEA">
        <w:rPr>
          <w:rFonts w:ascii="Arial" w:hAnsi="Arial" w:cs="Arial"/>
          <w:sz w:val="20"/>
          <w:szCs w:val="20"/>
        </w:rPr>
        <w:br w:type="page"/>
      </w: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lastRenderedPageBreak/>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4CCAD664"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2022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7A7F2C33"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2022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77777777"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070904A6" w14:textId="77777777" w:rsidR="009851F4" w:rsidRPr="00553AEA" w:rsidRDefault="009851F4" w:rsidP="003E1100">
      <w:pPr>
        <w:spacing w:line="240" w:lineRule="auto"/>
        <w:rPr>
          <w:rFonts w:ascii="Arial" w:hAnsi="Arial" w:cs="Arial"/>
          <w:sz w:val="20"/>
          <w:szCs w:val="20"/>
        </w:rPr>
      </w:pPr>
    </w:p>
    <w:p w14:paraId="33D6CA69" w14:textId="77777777" w:rsidR="009851F4" w:rsidRPr="00553AEA" w:rsidRDefault="009851F4" w:rsidP="003E1100">
      <w:pPr>
        <w:spacing w:line="240" w:lineRule="auto"/>
        <w:rPr>
          <w:rFonts w:ascii="Arial" w:hAnsi="Arial" w:cs="Arial"/>
          <w:sz w:val="20"/>
          <w:szCs w:val="20"/>
        </w:rPr>
      </w:pPr>
    </w:p>
    <w:p w14:paraId="495F504E" w14:textId="77777777" w:rsidR="009851F4" w:rsidRPr="003A3611" w:rsidRDefault="009851F4" w:rsidP="003E1100">
      <w:pPr>
        <w:spacing w:line="240" w:lineRule="auto"/>
        <w:rPr>
          <w:rFonts w:ascii="Arial" w:hAnsi="Arial" w:cs="Arial"/>
          <w:sz w:val="20"/>
          <w:szCs w:val="20"/>
          <w:lang w:val="uk-UA"/>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1436C6"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1436C6"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rsidP="003A3611">
      <w:pPr>
        <w:spacing w:after="0"/>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1436C6" w14:paraId="72AF97F7" w14:textId="77777777" w:rsidTr="008A1F85">
        <w:tc>
          <w:tcPr>
            <w:tcW w:w="9395" w:type="dxa"/>
            <w:tcBorders>
              <w:top w:val="nil"/>
              <w:left w:val="nil"/>
              <w:bottom w:val="nil"/>
              <w:right w:val="nil"/>
            </w:tcBorders>
          </w:tcPr>
          <w:p w14:paraId="568CCD5F" w14:textId="192F7269"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r w:rsidR="00F27C56">
              <w:rPr>
                <w:rFonts w:ascii="Arial" w:hAnsi="Arial" w:cs="Arial"/>
                <w:b/>
                <w:lang w:val="ru-RU"/>
              </w:rPr>
              <w:t>__________________________</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sectPr w:rsidR="007B5122" w:rsidRPr="00553AEA" w:rsidSect="00BB21B7">
      <w:footerReference w:type="default" r:id="rId8"/>
      <w:pgSz w:w="12240" w:h="15840"/>
      <w:pgMar w:top="993" w:right="758" w:bottom="993"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C4D5" w14:textId="77777777" w:rsidR="00B476DB" w:rsidRDefault="00B476DB">
      <w:pPr>
        <w:spacing w:after="0" w:line="240" w:lineRule="auto"/>
      </w:pPr>
      <w:r>
        <w:separator/>
      </w:r>
    </w:p>
  </w:endnote>
  <w:endnote w:type="continuationSeparator" w:id="0">
    <w:p w14:paraId="5756B53F" w14:textId="77777777" w:rsidR="00B476DB" w:rsidRDefault="00B4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00000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40A6" w14:textId="77777777" w:rsidR="00B476DB" w:rsidRDefault="00B476DB">
      <w:pPr>
        <w:spacing w:after="0" w:line="240" w:lineRule="auto"/>
      </w:pPr>
      <w:r>
        <w:separator/>
      </w:r>
    </w:p>
  </w:footnote>
  <w:footnote w:type="continuationSeparator" w:id="0">
    <w:p w14:paraId="2911C648" w14:textId="77777777" w:rsidR="00B476DB" w:rsidRDefault="00B47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9002C"/>
    <w:rsid w:val="000B123A"/>
    <w:rsid w:val="000D49CD"/>
    <w:rsid w:val="001436C6"/>
    <w:rsid w:val="00167CD9"/>
    <w:rsid w:val="00243E81"/>
    <w:rsid w:val="00246070"/>
    <w:rsid w:val="002A53B3"/>
    <w:rsid w:val="002B502C"/>
    <w:rsid w:val="002F1BE8"/>
    <w:rsid w:val="003221B0"/>
    <w:rsid w:val="00334D4C"/>
    <w:rsid w:val="00372C51"/>
    <w:rsid w:val="00386308"/>
    <w:rsid w:val="003A3611"/>
    <w:rsid w:val="003A3E0B"/>
    <w:rsid w:val="003E1100"/>
    <w:rsid w:val="00426EC0"/>
    <w:rsid w:val="004805A1"/>
    <w:rsid w:val="004A0519"/>
    <w:rsid w:val="00511372"/>
    <w:rsid w:val="00512E3E"/>
    <w:rsid w:val="00553AEA"/>
    <w:rsid w:val="00625328"/>
    <w:rsid w:val="00631BAF"/>
    <w:rsid w:val="0064088F"/>
    <w:rsid w:val="00672568"/>
    <w:rsid w:val="00673909"/>
    <w:rsid w:val="006D37B6"/>
    <w:rsid w:val="006D55E1"/>
    <w:rsid w:val="006F09EB"/>
    <w:rsid w:val="007754AE"/>
    <w:rsid w:val="00782EC4"/>
    <w:rsid w:val="007845C3"/>
    <w:rsid w:val="007B5122"/>
    <w:rsid w:val="007E4BB1"/>
    <w:rsid w:val="008359C2"/>
    <w:rsid w:val="008762A5"/>
    <w:rsid w:val="008A67C0"/>
    <w:rsid w:val="008B1CA5"/>
    <w:rsid w:val="008B7E77"/>
    <w:rsid w:val="008C2E73"/>
    <w:rsid w:val="008D016E"/>
    <w:rsid w:val="00910E4D"/>
    <w:rsid w:val="009851F4"/>
    <w:rsid w:val="00986762"/>
    <w:rsid w:val="009B4F47"/>
    <w:rsid w:val="00A10DC3"/>
    <w:rsid w:val="00A653EC"/>
    <w:rsid w:val="00A76C5D"/>
    <w:rsid w:val="00A978EF"/>
    <w:rsid w:val="00AA7CC9"/>
    <w:rsid w:val="00AB3299"/>
    <w:rsid w:val="00B0218E"/>
    <w:rsid w:val="00B2628A"/>
    <w:rsid w:val="00B44901"/>
    <w:rsid w:val="00B476DB"/>
    <w:rsid w:val="00B72549"/>
    <w:rsid w:val="00BB21B7"/>
    <w:rsid w:val="00BB58DE"/>
    <w:rsid w:val="00C01717"/>
    <w:rsid w:val="00C2640F"/>
    <w:rsid w:val="00C36AE2"/>
    <w:rsid w:val="00C42383"/>
    <w:rsid w:val="00C43A49"/>
    <w:rsid w:val="00C5759D"/>
    <w:rsid w:val="00C90FFE"/>
    <w:rsid w:val="00CA7125"/>
    <w:rsid w:val="00CC2A4C"/>
    <w:rsid w:val="00D5023B"/>
    <w:rsid w:val="00D81729"/>
    <w:rsid w:val="00E327D9"/>
    <w:rsid w:val="00E84D5B"/>
    <w:rsid w:val="00EA2D88"/>
    <w:rsid w:val="00EA46AF"/>
    <w:rsid w:val="00EC068E"/>
    <w:rsid w:val="00EC5A0D"/>
    <w:rsid w:val="00F24BF0"/>
    <w:rsid w:val="00F27C56"/>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36249</Words>
  <Characters>20663</Characters>
  <Application>Microsoft Office Word</Application>
  <DocSecurity>0</DocSecurity>
  <Lines>172</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11</cp:revision>
  <dcterms:created xsi:type="dcterms:W3CDTF">2024-10-29T13:04:00Z</dcterms:created>
  <dcterms:modified xsi:type="dcterms:W3CDTF">2025-08-14T14:16:00Z</dcterms:modified>
  <dc:language>uk-UA</dc:language>
</cp:coreProperties>
</file>