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ACD7" w14:textId="5302EA37" w:rsidR="0064732B" w:rsidRDefault="0064732B" w:rsidP="0064732B">
      <w:pPr>
        <w:jc w:val="right"/>
        <w:rPr>
          <w:b/>
          <w:bCs/>
          <w:sz w:val="22"/>
          <w:szCs w:val="22"/>
          <w:lang w:val="uk-UA"/>
        </w:rPr>
      </w:pPr>
      <w:bookmarkStart w:id="0" w:name="медичне-завдання"/>
      <w:r>
        <w:rPr>
          <w:b/>
          <w:bCs/>
          <w:sz w:val="22"/>
          <w:szCs w:val="22"/>
          <w:lang w:val="uk-UA"/>
        </w:rPr>
        <w:t>Додаток №2</w:t>
      </w:r>
    </w:p>
    <w:p w14:paraId="14F4815C" w14:textId="77777777" w:rsidR="0064732B" w:rsidRDefault="0064732B" w:rsidP="0064732B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до Запиту 2154ОК</w:t>
      </w:r>
    </w:p>
    <w:p w14:paraId="57DE8059" w14:textId="136085D2" w:rsidR="000F07FE" w:rsidRPr="0064732B" w:rsidRDefault="0022228A" w:rsidP="0064732B">
      <w:pPr>
        <w:pStyle w:val="AbstractTitle"/>
        <w:rPr>
          <w:color w:val="0F4761" w:themeColor="accent1" w:themeShade="BF"/>
          <w:sz w:val="36"/>
          <w:szCs w:val="36"/>
          <w:lang w:val="uk-UA"/>
        </w:rPr>
      </w:pPr>
      <w:r w:rsidRPr="0064732B">
        <w:rPr>
          <w:color w:val="0F4761" w:themeColor="accent1" w:themeShade="BF"/>
          <w:sz w:val="36"/>
          <w:szCs w:val="36"/>
          <w:lang w:val="uk-UA"/>
        </w:rPr>
        <w:t>Медичне завдання</w:t>
      </w:r>
    </w:p>
    <w:p w14:paraId="0DEEBDE3" w14:textId="304AACFA" w:rsidR="000F07FE" w:rsidRPr="005364EF" w:rsidRDefault="0022228A" w:rsidP="0064732B">
      <w:pPr>
        <w:pStyle w:val="FirstParagraph"/>
        <w:jc w:val="center"/>
        <w:rPr>
          <w:lang w:val="uk-UA"/>
        </w:rPr>
      </w:pPr>
      <w:r w:rsidRPr="005244CD">
        <w:rPr>
          <w:b/>
          <w:bCs/>
          <w:lang w:val="uk-UA"/>
        </w:rPr>
        <w:t>на приведення кабінету комп’ютерної томографії у відповідність до вимог затвердженого проєкту та чинних нормативних документів</w:t>
      </w:r>
      <w:r w:rsidR="00E24B7A" w:rsidRPr="005364EF">
        <w:rPr>
          <w:b/>
          <w:bCs/>
          <w:lang w:val="uk-UA"/>
        </w:rPr>
        <w:t xml:space="preserve"> з метою введення його в експлуатацію</w:t>
      </w:r>
    </w:p>
    <w:p w14:paraId="1F770D6A" w14:textId="77777777" w:rsidR="000F07FE" w:rsidRPr="0064732B" w:rsidRDefault="0022228A" w:rsidP="0064732B">
      <w:pPr>
        <w:pStyle w:val="AbstractTitle"/>
        <w:ind w:firstLine="567"/>
        <w:jc w:val="left"/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</w:pPr>
      <w:bookmarkStart w:id="1" w:name="замовник"/>
      <w:r w:rsidRPr="0064732B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1. Замовник</w:t>
      </w:r>
    </w:p>
    <w:p w14:paraId="354A6191" w14:textId="06634AD4" w:rsidR="000F07FE" w:rsidRPr="00CE08F5" w:rsidRDefault="0022228A">
      <w:pPr>
        <w:pStyle w:val="FirstParagraph"/>
        <w:rPr>
          <w:lang w:val="uk-UA"/>
        </w:rPr>
      </w:pPr>
      <w:r w:rsidRPr="005364EF">
        <w:t>Державна установа «Національний науковий центр радіаційної медицини, гематології та онкології Національної академії медичних наук України»</w:t>
      </w:r>
      <w:r w:rsidRPr="005364EF">
        <w:br/>
        <w:t xml:space="preserve">Адреса: м. Київ, </w:t>
      </w:r>
      <w:r w:rsidR="00CE08F5" w:rsidRPr="002B595B">
        <w:rPr>
          <w:lang w:val="uk-UA"/>
        </w:rPr>
        <w:t>проспект Берестейський</w:t>
      </w:r>
      <w:r w:rsidR="00CE08F5">
        <w:t xml:space="preserve"> </w:t>
      </w:r>
      <w:r w:rsidR="00CE08F5" w:rsidRPr="00FA7E0B">
        <w:t>119–121</w:t>
      </w:r>
      <w:r w:rsidR="00CE08F5">
        <w:rPr>
          <w:lang w:val="uk-UA"/>
        </w:rPr>
        <w:t>.</w:t>
      </w:r>
    </w:p>
    <w:p w14:paraId="37B7319E" w14:textId="77777777" w:rsidR="000F07FE" w:rsidRPr="00735A19" w:rsidRDefault="0022228A" w:rsidP="00735A19">
      <w:pPr>
        <w:pStyle w:val="AbstractTitle"/>
        <w:ind w:firstLine="567"/>
        <w:jc w:val="left"/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</w:pPr>
      <w:bookmarkStart w:id="2" w:name="обєкт"/>
      <w:bookmarkEnd w:id="1"/>
      <w:r w:rsidRPr="00735A19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2. Об’єкт</w:t>
      </w:r>
    </w:p>
    <w:p w14:paraId="09F758D0" w14:textId="0F45A8E3" w:rsidR="000F07FE" w:rsidRPr="005364EF" w:rsidRDefault="0022228A">
      <w:pPr>
        <w:pStyle w:val="FirstParagraph"/>
      </w:pPr>
      <w:r w:rsidRPr="005364EF">
        <w:t>Кабінет комп’ютерної томографії, що оснащується системою рентгенівської комп’ютерної томографії SCENARIA View</w:t>
      </w:r>
      <w:r w:rsidR="0097666F">
        <w:rPr>
          <w:lang w:val="uk-UA"/>
        </w:rPr>
        <w:t xml:space="preserve">, </w:t>
      </w:r>
      <w:r w:rsidR="0097666F">
        <w:t>Fujifilm,</w:t>
      </w:r>
      <w:r w:rsidR="0097666F">
        <w:rPr>
          <w:lang w:val="uk-UA"/>
        </w:rPr>
        <w:t xml:space="preserve"> Японія (</w:t>
      </w:r>
      <w:r w:rsidRPr="005364EF">
        <w:t>128 зрізів</w:t>
      </w:r>
      <w:r w:rsidR="0097666F">
        <w:rPr>
          <w:lang w:val="uk-UA"/>
        </w:rPr>
        <w:t>)</w:t>
      </w:r>
      <w:r w:rsidRPr="005364EF">
        <w:t>.</w:t>
      </w:r>
    </w:p>
    <w:p w14:paraId="1538C151" w14:textId="77777777" w:rsidR="000F07FE" w:rsidRPr="00735A19" w:rsidRDefault="0022228A" w:rsidP="00735A19">
      <w:pPr>
        <w:pStyle w:val="AbstractTitle"/>
        <w:ind w:firstLine="567"/>
        <w:jc w:val="left"/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</w:pPr>
      <w:bookmarkStart w:id="3" w:name="вимоги-до-підготовки-приміщення"/>
      <w:bookmarkEnd w:id="2"/>
      <w:r w:rsidRPr="00735A19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3. Вимоги до підготовки приміщення</w:t>
      </w:r>
    </w:p>
    <w:p w14:paraId="0E367216" w14:textId="77777777" w:rsidR="00E24B7A" w:rsidRPr="005364EF" w:rsidRDefault="0022228A">
      <w:pPr>
        <w:pStyle w:val="FirstParagraph"/>
        <w:rPr>
          <w:b/>
          <w:bCs/>
        </w:rPr>
      </w:pPr>
      <w:r w:rsidRPr="005364EF">
        <w:t>1️</w:t>
      </w:r>
      <w:r w:rsidR="00E24B7A" w:rsidRPr="005364EF">
        <w:rPr>
          <w:lang w:val="uk-UA"/>
        </w:rPr>
        <w:t xml:space="preserve">. </w:t>
      </w:r>
      <w:r w:rsidRPr="005364EF">
        <w:rPr>
          <w:b/>
          <w:bCs/>
        </w:rPr>
        <w:t>Приведення приміщення у повну відповідність до затвердженого та погодженого проєкту:</w:t>
      </w:r>
    </w:p>
    <w:p w14:paraId="3BBA0F59" w14:textId="3DAD10D5" w:rsidR="00E24B7A" w:rsidRPr="005364EF" w:rsidRDefault="0022228A" w:rsidP="00D73570">
      <w:pPr>
        <w:pStyle w:val="FirstParagraph"/>
        <w:ind w:firstLine="426"/>
        <w:rPr>
          <w:lang w:val="uk-UA"/>
        </w:rPr>
      </w:pPr>
      <w:r w:rsidRPr="005364EF">
        <w:t xml:space="preserve"> - Виконання будівельно‑монтажних робіт </w:t>
      </w:r>
      <w:r w:rsidR="00E24B7A" w:rsidRPr="005364EF">
        <w:rPr>
          <w:lang w:val="uk-UA"/>
        </w:rPr>
        <w:t xml:space="preserve">та технічного нагляду </w:t>
      </w:r>
      <w:r w:rsidRPr="005364EF">
        <w:t>відповідно до креслень та технічної документації</w:t>
      </w:r>
      <w:r w:rsidR="00833865">
        <w:rPr>
          <w:lang w:val="uk-UA"/>
        </w:rPr>
        <w:t xml:space="preserve"> апарату КТ</w:t>
      </w:r>
      <w:r w:rsidR="00184C76" w:rsidRPr="005364EF">
        <w:rPr>
          <w:lang w:val="uk-UA"/>
        </w:rPr>
        <w:t xml:space="preserve">, в тому числі особливу увагу звернути на захист від іонізуючого випромінювання, вентиляцію, </w:t>
      </w:r>
      <w:r w:rsidR="00E236E5" w:rsidRPr="005364EF">
        <w:rPr>
          <w:lang w:val="uk-UA"/>
        </w:rPr>
        <w:t xml:space="preserve">електромережі та якість заземлення. </w:t>
      </w:r>
    </w:p>
    <w:p w14:paraId="3D5CEE82" w14:textId="6BEBA292" w:rsidR="000F07FE" w:rsidRPr="005364EF" w:rsidRDefault="0022228A" w:rsidP="00D73570">
      <w:pPr>
        <w:pStyle w:val="FirstParagraph"/>
        <w:ind w:firstLine="426"/>
      </w:pPr>
      <w:r w:rsidRPr="005364EF">
        <w:t>- Оформлення акту перевірки відповідності виконаних робіт проєкту.</w:t>
      </w:r>
    </w:p>
    <w:p w14:paraId="1972FDE2" w14:textId="77777777" w:rsidR="00E24B7A" w:rsidRPr="005364EF" w:rsidRDefault="0022228A">
      <w:pPr>
        <w:pStyle w:val="a0"/>
      </w:pPr>
      <w:r w:rsidRPr="00D73570">
        <w:rPr>
          <w:b/>
          <w:bCs/>
          <w:lang w:val="uk-UA"/>
        </w:rPr>
        <w:t>Необхідні документи</w:t>
      </w:r>
      <w:r w:rsidRPr="005364EF">
        <w:rPr>
          <w:b/>
          <w:bCs/>
        </w:rPr>
        <w:t>:</w:t>
      </w:r>
      <w:r w:rsidRPr="005364EF">
        <w:t xml:space="preserve"> </w:t>
      </w:r>
    </w:p>
    <w:p w14:paraId="084C17C4" w14:textId="014AAD8C" w:rsidR="00E24B7A" w:rsidRPr="005364EF" w:rsidRDefault="0022228A" w:rsidP="00D73570">
      <w:pPr>
        <w:pStyle w:val="a0"/>
        <w:ind w:firstLine="426"/>
      </w:pPr>
      <w:r w:rsidRPr="005364EF">
        <w:t xml:space="preserve">- </w:t>
      </w:r>
      <w:r w:rsidR="0097666F">
        <w:rPr>
          <w:lang w:val="uk-UA"/>
        </w:rPr>
        <w:t>Затверджений проект з додатками, корективами</w:t>
      </w:r>
      <w:r w:rsidRPr="005364EF">
        <w:t xml:space="preserve">. </w:t>
      </w:r>
    </w:p>
    <w:p w14:paraId="10870CE3" w14:textId="77777777" w:rsidR="00E24B7A" w:rsidRPr="005364EF" w:rsidRDefault="0022228A" w:rsidP="00D73570">
      <w:pPr>
        <w:pStyle w:val="a0"/>
        <w:ind w:firstLine="426"/>
      </w:pPr>
      <w:r w:rsidRPr="005364EF">
        <w:t xml:space="preserve">- Креслення з відмітками фактичного виконання. </w:t>
      </w:r>
    </w:p>
    <w:p w14:paraId="3136BFE7" w14:textId="10345BBE" w:rsidR="000F07FE" w:rsidRPr="005364EF" w:rsidRDefault="0022228A" w:rsidP="00D73570">
      <w:pPr>
        <w:pStyle w:val="a0"/>
        <w:ind w:firstLine="426"/>
      </w:pPr>
      <w:r w:rsidRPr="005364EF">
        <w:t>- Акт перевірки відповідності.</w:t>
      </w:r>
    </w:p>
    <w:p w14:paraId="43B047DD" w14:textId="3030FE74" w:rsidR="002B00AF" w:rsidRPr="005364EF" w:rsidRDefault="002B00AF" w:rsidP="00D73570">
      <w:pPr>
        <w:pStyle w:val="a0"/>
        <w:ind w:firstLine="426"/>
        <w:rPr>
          <w:lang w:val="uk-UA"/>
        </w:rPr>
      </w:pPr>
      <w:r w:rsidRPr="005364EF">
        <w:rPr>
          <w:lang w:val="uk-UA"/>
        </w:rPr>
        <w:t xml:space="preserve">-Акт готовності приміщень до монтажу обладнання. </w:t>
      </w:r>
    </w:p>
    <w:p w14:paraId="2FB37C21" w14:textId="05EB7DA8" w:rsidR="00E236E5" w:rsidRPr="005364EF" w:rsidRDefault="00E236E5" w:rsidP="00D73570">
      <w:pPr>
        <w:pStyle w:val="rvps2"/>
        <w:shd w:val="clear" w:color="auto" w:fill="FFFFFF"/>
        <w:spacing w:before="0" w:beforeAutospacing="0" w:after="150" w:afterAutospacing="0"/>
        <w:ind w:firstLine="426"/>
        <w:jc w:val="both"/>
        <w:rPr>
          <w:color w:val="333333"/>
        </w:rPr>
      </w:pPr>
      <w:r w:rsidRPr="005364EF">
        <w:rPr>
          <w:lang w:val="uk-UA"/>
        </w:rPr>
        <w:t>-</w:t>
      </w:r>
      <w:r w:rsidRPr="005364EF">
        <w:rPr>
          <w:color w:val="333333"/>
          <w:lang w:val="uk-UA"/>
        </w:rPr>
        <w:t>А</w:t>
      </w:r>
      <w:r w:rsidRPr="005364EF">
        <w:rPr>
          <w:color w:val="333333"/>
        </w:rPr>
        <w:t>кт перевірки ефективності вентиляції;</w:t>
      </w:r>
      <w:bookmarkStart w:id="4" w:name="n171"/>
      <w:bookmarkEnd w:id="4"/>
    </w:p>
    <w:p w14:paraId="077A7EFB" w14:textId="7530F6CD" w:rsidR="00E236E5" w:rsidRPr="00D73570" w:rsidRDefault="00E236E5" w:rsidP="00D73570">
      <w:pPr>
        <w:pStyle w:val="rvps2"/>
        <w:shd w:val="clear" w:color="auto" w:fill="FFFFFF"/>
        <w:spacing w:before="0" w:beforeAutospacing="0" w:after="150" w:afterAutospacing="0"/>
        <w:ind w:firstLine="426"/>
        <w:jc w:val="both"/>
        <w:rPr>
          <w:color w:val="333333"/>
          <w:lang w:val="uk-UA"/>
        </w:rPr>
      </w:pPr>
      <w:r w:rsidRPr="005364EF">
        <w:rPr>
          <w:color w:val="333333"/>
          <w:lang w:val="uk-UA"/>
        </w:rPr>
        <w:t>-</w:t>
      </w:r>
      <w:r w:rsidRPr="00D73570">
        <w:rPr>
          <w:color w:val="333333"/>
          <w:lang w:val="uk-UA"/>
        </w:rPr>
        <w:t>Акт випробувань пристрою захисного заземлення з зазначенням величини опору розтікання струму основних заземлювачів, акти перевірки стану мережі заземлення медичного устаткування й електроустановок, протоколи вимірювань опору ізоляції проводів і кабелів</w:t>
      </w:r>
    </w:p>
    <w:p w14:paraId="0ECCF87B" w14:textId="77777777" w:rsidR="00E24B7A" w:rsidRPr="00D73570" w:rsidRDefault="0022228A">
      <w:pPr>
        <w:pStyle w:val="a0"/>
        <w:rPr>
          <w:lang w:val="uk-UA"/>
        </w:rPr>
      </w:pPr>
      <w:r w:rsidRPr="00D73570">
        <w:rPr>
          <w:b/>
          <w:bCs/>
          <w:lang w:val="uk-UA"/>
        </w:rPr>
        <w:t>Нормативні документи:</w:t>
      </w:r>
      <w:r w:rsidRPr="00D73570">
        <w:rPr>
          <w:lang w:val="uk-UA"/>
        </w:rPr>
        <w:t xml:space="preserve"> </w:t>
      </w:r>
    </w:p>
    <w:p w14:paraId="1012F5F2" w14:textId="77777777" w:rsidR="00E24B7A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 xml:space="preserve">- ДБН В.2.2‑10:2022. </w:t>
      </w:r>
    </w:p>
    <w:p w14:paraId="2C4F839A" w14:textId="7F4321CF" w:rsidR="00E24B7A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>- НРБУ‑97</w:t>
      </w:r>
      <w:r w:rsidR="00E236E5" w:rsidRPr="00D73570">
        <w:rPr>
          <w:lang w:val="uk-UA"/>
        </w:rPr>
        <w:t xml:space="preserve"> (https://zakon.rada.gov.ua/laws/show/z1256-07#Text)</w:t>
      </w:r>
      <w:r w:rsidRPr="00D73570">
        <w:rPr>
          <w:lang w:val="uk-UA"/>
        </w:rPr>
        <w:t xml:space="preserve">. </w:t>
      </w:r>
    </w:p>
    <w:p w14:paraId="1C6CD01F" w14:textId="42720C52" w:rsidR="000F07FE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 xml:space="preserve">- </w:t>
      </w:r>
      <w:proofErr w:type="spellStart"/>
      <w:r w:rsidRPr="00D73570">
        <w:rPr>
          <w:lang w:val="uk-UA"/>
        </w:rPr>
        <w:t>ДСанПіН</w:t>
      </w:r>
      <w:proofErr w:type="spellEnd"/>
      <w:r w:rsidRPr="00D73570">
        <w:rPr>
          <w:lang w:val="uk-UA"/>
        </w:rPr>
        <w:t xml:space="preserve"> 6.6.3‑083‑2001.</w:t>
      </w:r>
    </w:p>
    <w:p w14:paraId="1578E884" w14:textId="3BF01C7E" w:rsidR="000F07FE" w:rsidRPr="00D73570" w:rsidRDefault="000F07FE">
      <w:pPr>
        <w:rPr>
          <w:lang w:val="uk-UA"/>
        </w:rPr>
      </w:pPr>
    </w:p>
    <w:p w14:paraId="05C090C0" w14:textId="77777777" w:rsidR="00E24B7A" w:rsidRPr="00D73570" w:rsidRDefault="00E24B7A">
      <w:pPr>
        <w:pStyle w:val="FirstParagraph"/>
        <w:rPr>
          <w:b/>
          <w:bCs/>
          <w:lang w:val="uk-UA"/>
        </w:rPr>
      </w:pPr>
      <w:r w:rsidRPr="00D73570">
        <w:rPr>
          <w:lang w:val="uk-UA"/>
        </w:rPr>
        <w:lastRenderedPageBreak/>
        <w:t>2.</w:t>
      </w:r>
      <w:r w:rsidR="0022228A" w:rsidRPr="00D73570">
        <w:rPr>
          <w:lang w:val="uk-UA"/>
        </w:rPr>
        <w:t xml:space="preserve"> </w:t>
      </w:r>
      <w:r w:rsidR="0022228A" w:rsidRPr="00D73570">
        <w:rPr>
          <w:b/>
          <w:bCs/>
          <w:lang w:val="uk-UA"/>
        </w:rPr>
        <w:t>Забезпечення документального підтвердження відповідності приміщення:</w:t>
      </w:r>
    </w:p>
    <w:p w14:paraId="3EF3EF5F" w14:textId="77777777" w:rsidR="00E24B7A" w:rsidRPr="00D73570" w:rsidRDefault="0022228A">
      <w:pPr>
        <w:pStyle w:val="FirstParagraph"/>
        <w:rPr>
          <w:lang w:val="uk-UA"/>
        </w:rPr>
      </w:pPr>
      <w:r w:rsidRPr="00D73570">
        <w:rPr>
          <w:lang w:val="uk-UA"/>
        </w:rPr>
        <w:t xml:space="preserve"> - Сертифікати відповідності та якості на всі матеріали для радіаційного захисту. </w:t>
      </w:r>
    </w:p>
    <w:p w14:paraId="5A7CCCB8" w14:textId="2038333A" w:rsidR="000F07FE" w:rsidRPr="00D73570" w:rsidRDefault="0022228A">
      <w:pPr>
        <w:pStyle w:val="FirstParagraph"/>
        <w:rPr>
          <w:lang w:val="uk-UA"/>
        </w:rPr>
      </w:pPr>
      <w:r w:rsidRPr="00D73570">
        <w:rPr>
          <w:lang w:val="uk-UA"/>
        </w:rPr>
        <w:t>- Акти виконаних робіт, підписані та завірені ліцензованою</w:t>
      </w:r>
      <w:r w:rsidR="00E24B7A" w:rsidRPr="00D73570">
        <w:rPr>
          <w:lang w:val="uk-UA"/>
        </w:rPr>
        <w:t xml:space="preserve"> будівельною</w:t>
      </w:r>
      <w:r w:rsidRPr="00D73570">
        <w:rPr>
          <w:lang w:val="uk-UA"/>
        </w:rPr>
        <w:t xml:space="preserve"> організацією.</w:t>
      </w:r>
    </w:p>
    <w:p w14:paraId="75FC063A" w14:textId="77777777" w:rsidR="00E24B7A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 xml:space="preserve">- Ліцензія підрядної організації. </w:t>
      </w:r>
    </w:p>
    <w:p w14:paraId="5D3F7EAF" w14:textId="5ADD1479" w:rsidR="000F07FE" w:rsidRPr="00D73570" w:rsidRDefault="0022228A" w:rsidP="00E24B7A">
      <w:pPr>
        <w:pStyle w:val="a0"/>
        <w:rPr>
          <w:lang w:val="uk-UA"/>
        </w:rPr>
      </w:pPr>
      <w:r w:rsidRPr="00D73570">
        <w:rPr>
          <w:lang w:val="uk-UA"/>
        </w:rPr>
        <w:t>- Довідка про комплектність документів.</w:t>
      </w:r>
    </w:p>
    <w:p w14:paraId="0E1AB7D7" w14:textId="77777777" w:rsidR="00E24B7A" w:rsidRPr="00D73570" w:rsidRDefault="0022228A">
      <w:pPr>
        <w:pStyle w:val="FirstParagraph"/>
        <w:rPr>
          <w:lang w:val="uk-UA"/>
        </w:rPr>
      </w:pPr>
      <w:r w:rsidRPr="00D73570">
        <w:rPr>
          <w:lang w:val="uk-UA"/>
        </w:rPr>
        <w:t>3️</w:t>
      </w:r>
      <w:r w:rsidR="00E24B7A" w:rsidRPr="00D73570">
        <w:rPr>
          <w:lang w:val="uk-UA"/>
        </w:rPr>
        <w:t xml:space="preserve">. </w:t>
      </w:r>
      <w:r w:rsidRPr="00D73570">
        <w:rPr>
          <w:b/>
          <w:bCs/>
          <w:lang w:val="uk-UA"/>
        </w:rPr>
        <w:t>Врахування медичного навантаження:</w:t>
      </w:r>
      <w:r w:rsidRPr="00D73570">
        <w:rPr>
          <w:lang w:val="uk-UA"/>
        </w:rPr>
        <w:t xml:space="preserve"> </w:t>
      </w:r>
    </w:p>
    <w:p w14:paraId="67EBD5E4" w14:textId="4766FDF5" w:rsidR="000F07FE" w:rsidRPr="00D73570" w:rsidRDefault="0022228A">
      <w:pPr>
        <w:pStyle w:val="FirstParagraph"/>
        <w:rPr>
          <w:lang w:val="uk-UA"/>
        </w:rPr>
      </w:pPr>
      <w:r w:rsidRPr="00D73570">
        <w:rPr>
          <w:lang w:val="uk-UA"/>
        </w:rPr>
        <w:t xml:space="preserve">- Приміщення та обладнання мають бути готові до роботи при </w:t>
      </w:r>
      <w:r w:rsidR="00E236E5" w:rsidRPr="00D73570">
        <w:rPr>
          <w:lang w:val="uk-UA"/>
        </w:rPr>
        <w:t xml:space="preserve">максимальному </w:t>
      </w:r>
      <w:r w:rsidRPr="00D73570">
        <w:rPr>
          <w:lang w:val="uk-UA"/>
        </w:rPr>
        <w:t>навантаженні до 25 досліджень на добу</w:t>
      </w:r>
      <w:r w:rsidR="00E24B7A" w:rsidRPr="00D73570">
        <w:rPr>
          <w:lang w:val="uk-UA"/>
        </w:rPr>
        <w:t xml:space="preserve">. </w:t>
      </w:r>
    </w:p>
    <w:p w14:paraId="523D7771" w14:textId="01313A85" w:rsidR="00E24B7A" w:rsidRPr="00D73570" w:rsidRDefault="00E24B7A" w:rsidP="00E24B7A">
      <w:pPr>
        <w:pStyle w:val="a0"/>
        <w:rPr>
          <w:lang w:val="uk-UA"/>
        </w:rPr>
      </w:pPr>
      <w:r w:rsidRPr="00D73570">
        <w:rPr>
          <w:lang w:val="uk-UA"/>
        </w:rPr>
        <w:t xml:space="preserve">-Необхідно передбачити </w:t>
      </w:r>
      <w:r w:rsidR="00867D43" w:rsidRPr="00D73570">
        <w:rPr>
          <w:lang w:val="uk-UA"/>
        </w:rPr>
        <w:t xml:space="preserve">комплектування апарату КТ автоматичним інжектором для </w:t>
      </w:r>
      <w:proofErr w:type="spellStart"/>
      <w:r w:rsidR="00867D43" w:rsidRPr="00D73570">
        <w:rPr>
          <w:lang w:val="uk-UA"/>
        </w:rPr>
        <w:t>болюсного</w:t>
      </w:r>
      <w:proofErr w:type="spellEnd"/>
      <w:r w:rsidR="00867D43" w:rsidRPr="00D73570">
        <w:rPr>
          <w:lang w:val="uk-UA"/>
        </w:rPr>
        <w:t xml:space="preserve"> в/в введення контрасту та фізіологічного розчину (необхідно передбачити можливість заведення додаткових кабелів у кабель канал, для сполучення інжектора в процедурній з пультом керування інжектором в пультовій, а також підключення його до електромережі в процедурній).</w:t>
      </w:r>
    </w:p>
    <w:p w14:paraId="6A354C16" w14:textId="0E8334ED" w:rsidR="00867D43" w:rsidRPr="00D73570" w:rsidRDefault="00867D43" w:rsidP="00E24B7A">
      <w:pPr>
        <w:pStyle w:val="a0"/>
        <w:rPr>
          <w:lang w:val="uk-UA"/>
        </w:rPr>
      </w:pPr>
      <w:r w:rsidRPr="00D73570">
        <w:rPr>
          <w:lang w:val="uk-UA"/>
        </w:rPr>
        <w:t>-Необхідно передбачити можливість підключення наркозно – дихального обладнання (вивід кисню, підключення апарату до електромережі)</w:t>
      </w:r>
    </w:p>
    <w:p w14:paraId="5D797AB8" w14:textId="78E2BFC1" w:rsidR="000F07FE" w:rsidRPr="00D73570" w:rsidRDefault="00E236E5">
      <w:pPr>
        <w:pStyle w:val="a0"/>
        <w:rPr>
          <w:lang w:val="uk-UA"/>
        </w:rPr>
      </w:pPr>
      <w:r w:rsidRPr="00D73570">
        <w:rPr>
          <w:b/>
          <w:bCs/>
          <w:lang w:val="uk-UA"/>
        </w:rPr>
        <w:t>Необхідний п</w:t>
      </w:r>
      <w:r w:rsidR="0022228A" w:rsidRPr="00D73570">
        <w:rPr>
          <w:b/>
          <w:bCs/>
          <w:lang w:val="uk-UA"/>
        </w:rPr>
        <w:t>ерсонал</w:t>
      </w:r>
      <w:r w:rsidRPr="00D73570">
        <w:rPr>
          <w:b/>
          <w:bCs/>
          <w:lang w:val="uk-UA"/>
        </w:rPr>
        <w:t xml:space="preserve"> на 1 зміну</w:t>
      </w:r>
      <w:r w:rsidR="0022228A" w:rsidRPr="00D73570">
        <w:rPr>
          <w:b/>
          <w:bCs/>
          <w:lang w:val="uk-UA"/>
        </w:rPr>
        <w:t>:</w:t>
      </w:r>
      <w:r w:rsidR="0022228A" w:rsidRPr="00D73570">
        <w:rPr>
          <w:lang w:val="uk-UA"/>
        </w:rPr>
        <w:t xml:space="preserve"> </w:t>
      </w:r>
      <w:proofErr w:type="spellStart"/>
      <w:r w:rsidR="0022228A" w:rsidRPr="00D73570">
        <w:rPr>
          <w:lang w:val="uk-UA"/>
        </w:rPr>
        <w:t>рентгено</w:t>
      </w:r>
      <w:proofErr w:type="spellEnd"/>
      <w:r w:rsidR="0022228A" w:rsidRPr="00D73570">
        <w:rPr>
          <w:lang w:val="uk-UA"/>
        </w:rPr>
        <w:t>‑лаборант, лікар‑рентгенолог.</w:t>
      </w:r>
    </w:p>
    <w:p w14:paraId="5975DAA9" w14:textId="56144FDF" w:rsidR="00867D43" w:rsidRPr="00D73570" w:rsidRDefault="0022228A">
      <w:pPr>
        <w:pStyle w:val="FirstParagraph"/>
        <w:rPr>
          <w:lang w:val="uk-UA"/>
        </w:rPr>
      </w:pPr>
      <w:r w:rsidRPr="00D73570">
        <w:rPr>
          <w:lang w:val="uk-UA"/>
        </w:rPr>
        <w:t>4️</w:t>
      </w:r>
      <w:r w:rsidR="00E236E5" w:rsidRPr="00D73570">
        <w:rPr>
          <w:lang w:val="uk-UA"/>
        </w:rPr>
        <w:t xml:space="preserve">. </w:t>
      </w:r>
      <w:r w:rsidRPr="00D73570">
        <w:rPr>
          <w:b/>
          <w:bCs/>
          <w:lang w:val="uk-UA"/>
        </w:rPr>
        <w:t>Додаткові інженерні вимоги:</w:t>
      </w:r>
      <w:r w:rsidRPr="00D73570">
        <w:rPr>
          <w:lang w:val="uk-UA"/>
        </w:rPr>
        <w:t xml:space="preserve"> </w:t>
      </w:r>
    </w:p>
    <w:p w14:paraId="622155C8" w14:textId="7F55D07F" w:rsidR="005364EF" w:rsidRPr="00D73570" w:rsidRDefault="004878E8" w:rsidP="004878E8">
      <w:pPr>
        <w:pStyle w:val="a0"/>
        <w:rPr>
          <w:lang w:val="uk-UA"/>
        </w:rPr>
      </w:pPr>
      <w:r w:rsidRPr="00D73570">
        <w:rPr>
          <w:lang w:val="uk-UA"/>
        </w:rPr>
        <w:t xml:space="preserve">-Передбачити шляхи завозу апарату КТ в кабінет, включаючи етапність будівельно-опоряджувальних робіт, необхідні технологічні </w:t>
      </w:r>
      <w:proofErr w:type="spellStart"/>
      <w:r w:rsidRPr="00D73570">
        <w:rPr>
          <w:lang w:val="uk-UA"/>
        </w:rPr>
        <w:t>пройоми</w:t>
      </w:r>
      <w:proofErr w:type="spellEnd"/>
      <w:r w:rsidRPr="00D73570">
        <w:rPr>
          <w:lang w:val="uk-UA"/>
        </w:rPr>
        <w:t xml:space="preserve">. </w:t>
      </w:r>
    </w:p>
    <w:p w14:paraId="5C8DACED" w14:textId="77777777" w:rsidR="00E236E5" w:rsidRPr="00D73570" w:rsidRDefault="0022228A" w:rsidP="00E236E5">
      <w:pPr>
        <w:pStyle w:val="a0"/>
        <w:rPr>
          <w:lang w:val="uk-UA"/>
        </w:rPr>
      </w:pPr>
      <w:r w:rsidRPr="00D73570">
        <w:rPr>
          <w:lang w:val="uk-UA"/>
        </w:rPr>
        <w:t xml:space="preserve">- Передбачити виводи для медичних газів у процедурній кімнаті позаду </w:t>
      </w:r>
      <w:proofErr w:type="spellStart"/>
      <w:r w:rsidRPr="00D73570">
        <w:rPr>
          <w:lang w:val="uk-UA"/>
        </w:rPr>
        <w:t>гентрі</w:t>
      </w:r>
      <w:proofErr w:type="spellEnd"/>
      <w:r w:rsidRPr="00D73570">
        <w:rPr>
          <w:lang w:val="uk-UA"/>
        </w:rPr>
        <w:t xml:space="preserve">: - обов’язково — кисень; - </w:t>
      </w:r>
      <w:proofErr w:type="spellStart"/>
      <w:r w:rsidRPr="00D73570">
        <w:rPr>
          <w:lang w:val="uk-UA"/>
        </w:rPr>
        <w:t>опційно</w:t>
      </w:r>
      <w:proofErr w:type="spellEnd"/>
      <w:r w:rsidRPr="00D73570">
        <w:rPr>
          <w:lang w:val="uk-UA"/>
        </w:rPr>
        <w:t xml:space="preserve"> — стиснене повітря, вакуум, відпрацьовані гази.</w:t>
      </w:r>
      <w:r w:rsidR="00E236E5" w:rsidRPr="00D73570">
        <w:rPr>
          <w:lang w:val="uk-UA"/>
        </w:rPr>
        <w:t xml:space="preserve"> </w:t>
      </w:r>
    </w:p>
    <w:p w14:paraId="1713DA6A" w14:textId="422FF9EE" w:rsidR="000F07FE" w:rsidRPr="00D73570" w:rsidRDefault="00E236E5" w:rsidP="00E236E5">
      <w:pPr>
        <w:pStyle w:val="a0"/>
        <w:rPr>
          <w:lang w:val="uk-UA"/>
        </w:rPr>
      </w:pPr>
      <w:r w:rsidRPr="00D73570">
        <w:rPr>
          <w:lang w:val="uk-UA"/>
        </w:rPr>
        <w:t xml:space="preserve">- Узгодження з підрядною організацією та медичною службою газів. </w:t>
      </w:r>
    </w:p>
    <w:p w14:paraId="2473BFAB" w14:textId="76CF58D5" w:rsidR="00184C76" w:rsidRPr="00D73570" w:rsidRDefault="00184C76" w:rsidP="005364EF">
      <w:pPr>
        <w:spacing w:before="100" w:beforeAutospacing="1" w:after="100" w:afterAutospacing="1"/>
        <w:rPr>
          <w:lang w:val="uk-UA"/>
        </w:rPr>
      </w:pPr>
      <w:r w:rsidRPr="00D73570">
        <w:rPr>
          <w:lang w:val="uk-UA"/>
        </w:rPr>
        <w:t xml:space="preserve">-Передбачити підключення </w:t>
      </w:r>
      <w:proofErr w:type="spellStart"/>
      <w:r w:rsidRPr="00D73570">
        <w:rPr>
          <w:lang w:val="uk-UA"/>
        </w:rPr>
        <w:t>Ethernet</w:t>
      </w:r>
      <w:proofErr w:type="spellEnd"/>
      <w:r w:rsidRPr="00D73570">
        <w:rPr>
          <w:lang w:val="uk-UA"/>
        </w:rPr>
        <w:t xml:space="preserve"> в пультовій – не менше 4 </w:t>
      </w:r>
      <w:r w:rsidR="004878E8" w:rsidRPr="00D73570">
        <w:rPr>
          <w:lang w:val="uk-UA"/>
        </w:rPr>
        <w:t xml:space="preserve">портів </w:t>
      </w:r>
      <w:r w:rsidR="004878E8" w:rsidRPr="00D73570">
        <w:rPr>
          <w:color w:val="0E0E0E"/>
          <w:lang w:val="uk-UA"/>
        </w:rPr>
        <w:t>RJ</w:t>
      </w:r>
      <w:r w:rsidR="004878E8" w:rsidRPr="00D73570">
        <w:rPr>
          <w:color w:val="0E0E0E"/>
          <w:lang w:val="uk-UA"/>
        </w:rPr>
        <w:noBreakHyphen/>
        <w:t>45</w:t>
      </w:r>
      <w:r w:rsidRPr="00D73570">
        <w:rPr>
          <w:lang w:val="uk-UA"/>
        </w:rPr>
        <w:t xml:space="preserve"> та 2 </w:t>
      </w:r>
      <w:r w:rsidR="005364EF" w:rsidRPr="00D73570">
        <w:rPr>
          <w:lang w:val="uk-UA"/>
        </w:rPr>
        <w:t xml:space="preserve"> порти </w:t>
      </w:r>
      <w:r w:rsidR="005364EF" w:rsidRPr="00D73570">
        <w:rPr>
          <w:color w:val="0E0E0E"/>
          <w:lang w:val="uk-UA"/>
        </w:rPr>
        <w:t>RJ</w:t>
      </w:r>
      <w:r w:rsidR="005364EF" w:rsidRPr="00D73570">
        <w:rPr>
          <w:color w:val="0E0E0E"/>
          <w:lang w:val="uk-UA"/>
        </w:rPr>
        <w:noBreakHyphen/>
        <w:t xml:space="preserve">45 </w:t>
      </w:r>
      <w:r w:rsidRPr="00D73570">
        <w:rPr>
          <w:lang w:val="uk-UA"/>
        </w:rPr>
        <w:t xml:space="preserve">в процедурній позаду </w:t>
      </w:r>
      <w:proofErr w:type="spellStart"/>
      <w:r w:rsidRPr="00D73570">
        <w:rPr>
          <w:lang w:val="uk-UA"/>
        </w:rPr>
        <w:t>гентрі</w:t>
      </w:r>
      <w:proofErr w:type="spellEnd"/>
      <w:r w:rsidRPr="00D73570">
        <w:rPr>
          <w:lang w:val="uk-UA"/>
        </w:rPr>
        <w:t xml:space="preserve">, підключені до одного мережевого комутатора з виходом в мережу Інтернет. </w:t>
      </w:r>
    </w:p>
    <w:p w14:paraId="0B8FE42F" w14:textId="4BE5BFF9" w:rsidR="008C72E4" w:rsidRPr="00D73570" w:rsidRDefault="008C72E4" w:rsidP="005364EF">
      <w:pPr>
        <w:spacing w:before="100" w:beforeAutospacing="1" w:after="100" w:afterAutospacing="1"/>
        <w:rPr>
          <w:lang w:val="uk-UA"/>
        </w:rPr>
      </w:pPr>
      <w:r w:rsidRPr="00D73570">
        <w:rPr>
          <w:lang w:val="uk-UA"/>
        </w:rPr>
        <w:t xml:space="preserve">-Передбачити </w:t>
      </w:r>
      <w:r w:rsidR="00A06F3C" w:rsidRPr="00D73570">
        <w:rPr>
          <w:lang w:val="uk-UA"/>
        </w:rPr>
        <w:t>ліхтар</w:t>
      </w:r>
      <w:r w:rsidRPr="00D73570">
        <w:rPr>
          <w:lang w:val="uk-UA"/>
        </w:rPr>
        <w:t xml:space="preserve"> з надписом «НЕ ЗАХОДИТИ» над дверима процедурної збоку чекальні, </w:t>
      </w:r>
      <w:r w:rsidR="00A06F3C" w:rsidRPr="00D73570">
        <w:rPr>
          <w:lang w:val="uk-UA"/>
        </w:rPr>
        <w:t>під’єднаний</w:t>
      </w:r>
      <w:r w:rsidRPr="00D73570">
        <w:rPr>
          <w:lang w:val="uk-UA"/>
        </w:rPr>
        <w:t xml:space="preserve"> до апарату КТ. </w:t>
      </w:r>
    </w:p>
    <w:p w14:paraId="4592FC29" w14:textId="0916E3B5" w:rsidR="008C72E4" w:rsidRPr="00D73570" w:rsidRDefault="008C72E4" w:rsidP="005364EF">
      <w:pPr>
        <w:spacing w:before="100" w:beforeAutospacing="1" w:after="100" w:afterAutospacing="1"/>
        <w:rPr>
          <w:color w:val="0E0E0E"/>
          <w:lang w:val="uk-UA"/>
        </w:rPr>
      </w:pPr>
      <w:r w:rsidRPr="00D73570">
        <w:rPr>
          <w:lang w:val="uk-UA"/>
        </w:rPr>
        <w:t xml:space="preserve">-Передбачити стаціонарну чи переносну УФ лампу для знезараження процедурної.  </w:t>
      </w:r>
    </w:p>
    <w:p w14:paraId="2B59DDD3" w14:textId="1A2CA06F" w:rsidR="004878E8" w:rsidRPr="00D73570" w:rsidRDefault="00B37E40" w:rsidP="00184C76">
      <w:pPr>
        <w:pStyle w:val="a0"/>
        <w:rPr>
          <w:lang w:val="uk-UA"/>
        </w:rPr>
      </w:pPr>
      <w:r w:rsidRPr="00D73570">
        <w:rPr>
          <w:lang w:val="uk-UA"/>
        </w:rPr>
        <w:t>-</w:t>
      </w:r>
      <w:r w:rsidR="00EC1A9B" w:rsidRPr="00D73570">
        <w:rPr>
          <w:lang w:val="uk-UA"/>
        </w:rPr>
        <w:t>В</w:t>
      </w:r>
      <w:r w:rsidRPr="00D73570">
        <w:rPr>
          <w:lang w:val="uk-UA"/>
        </w:rPr>
        <w:t xml:space="preserve">раховуючи нестабільну ситуацію з енергопостачанням, та дуже високий ризик пошкодження </w:t>
      </w:r>
      <w:proofErr w:type="spellStart"/>
      <w:r w:rsidRPr="00D73570">
        <w:rPr>
          <w:lang w:val="uk-UA"/>
        </w:rPr>
        <w:t>дороговартісного</w:t>
      </w:r>
      <w:proofErr w:type="spellEnd"/>
      <w:r w:rsidRPr="00D73570">
        <w:rPr>
          <w:lang w:val="uk-UA"/>
        </w:rPr>
        <w:t xml:space="preserve"> обладнання </w:t>
      </w:r>
      <w:r w:rsidR="00EC1A9B" w:rsidRPr="00D73570">
        <w:rPr>
          <w:lang w:val="uk-UA"/>
        </w:rPr>
        <w:t xml:space="preserve">внаслідок перепадів та зникнень електричного струму, рекомендовано передбачити монтаж джерела безперебійного живлення потужністю 100 кВт, що зможе функціонувати при повному навантаженні не менше 5 хв. </w:t>
      </w:r>
    </w:p>
    <w:p w14:paraId="084A0433" w14:textId="7F63D1EC" w:rsidR="00CE298F" w:rsidRPr="00D73570" w:rsidRDefault="005364EF" w:rsidP="00CE298F">
      <w:pPr>
        <w:rPr>
          <w:lang w:val="uk-UA"/>
        </w:rPr>
      </w:pPr>
      <w:r w:rsidRPr="00D73570">
        <w:rPr>
          <w:lang w:val="uk-UA"/>
        </w:rPr>
        <w:t xml:space="preserve">-Передбачити в процедурній КТ меблі та додаткове приладдя:  шафу для зберігання медикаментів та розхідних матеріалів, що закривається на ключ, </w:t>
      </w:r>
      <w:r w:rsidR="008C72E4" w:rsidRPr="00D73570">
        <w:rPr>
          <w:lang w:val="uk-UA"/>
        </w:rPr>
        <w:t xml:space="preserve">окремий стелаж чи шафу для додаткового приладдя КТ, </w:t>
      </w:r>
      <w:r w:rsidRPr="00D73570">
        <w:rPr>
          <w:lang w:val="uk-UA"/>
        </w:rPr>
        <w:t>маніпуляційний столик</w:t>
      </w:r>
      <w:r w:rsidR="00CE298F" w:rsidRPr="00D73570">
        <w:rPr>
          <w:lang w:val="uk-UA"/>
        </w:rPr>
        <w:t xml:space="preserve"> на колесах з шухлядою</w:t>
      </w:r>
      <w:r w:rsidRPr="00D73570">
        <w:rPr>
          <w:lang w:val="uk-UA"/>
        </w:rPr>
        <w:t xml:space="preserve">, </w:t>
      </w:r>
      <w:r w:rsidR="00CE298F" w:rsidRPr="00D73570">
        <w:rPr>
          <w:lang w:val="uk-UA"/>
        </w:rPr>
        <w:t xml:space="preserve">кушетку медичну, спеціальну вішалку чи шафу для засобів індивідуального захисту від іонізуючого випромінювання, 2 комплекти ЗІЗ з свинцевим </w:t>
      </w:r>
      <w:r w:rsidR="00CE298F" w:rsidRPr="00D73570">
        <w:rPr>
          <w:lang w:val="uk-UA"/>
        </w:rPr>
        <w:lastRenderedPageBreak/>
        <w:t xml:space="preserve">еквівалентом </w:t>
      </w:r>
      <w:proofErr w:type="spellStart"/>
      <w:r w:rsidR="00CE298F" w:rsidRPr="00D73570">
        <w:rPr>
          <w:rFonts w:ascii="Corbel" w:hAnsi="Corbel"/>
          <w:color w:val="222222"/>
          <w:shd w:val="clear" w:color="auto" w:fill="FFFFFF"/>
          <w:lang w:val="uk-UA"/>
        </w:rPr>
        <w:t>Рb</w:t>
      </w:r>
      <w:proofErr w:type="spellEnd"/>
      <w:r w:rsidR="00CE298F" w:rsidRPr="00D73570">
        <w:rPr>
          <w:rFonts w:ascii="Corbel" w:hAnsi="Corbel"/>
          <w:color w:val="222222"/>
          <w:shd w:val="clear" w:color="auto" w:fill="FFFFFF"/>
          <w:lang w:val="uk-UA"/>
        </w:rPr>
        <w:t>=0,35</w:t>
      </w:r>
      <w:r w:rsidR="00CE298F" w:rsidRPr="00D73570">
        <w:rPr>
          <w:lang w:val="uk-UA"/>
        </w:rPr>
        <w:t xml:space="preserve"> (фартух односторонній розмір М, комірець, шапочка)</w:t>
      </w:r>
      <w:r w:rsidR="00B27632" w:rsidRPr="00D73570">
        <w:rPr>
          <w:lang w:val="uk-UA"/>
        </w:rPr>
        <w:t xml:space="preserve"> з дійсними паспортами на виріб</w:t>
      </w:r>
      <w:r w:rsidR="00CE298F" w:rsidRPr="00D73570">
        <w:rPr>
          <w:lang w:val="uk-UA"/>
        </w:rPr>
        <w:t xml:space="preserve">. </w:t>
      </w:r>
    </w:p>
    <w:p w14:paraId="3D138563" w14:textId="39A90C96" w:rsidR="005364EF" w:rsidRPr="00D73570" w:rsidRDefault="00CE298F" w:rsidP="00CE298F">
      <w:pPr>
        <w:rPr>
          <w:lang w:val="uk-UA"/>
        </w:rPr>
      </w:pPr>
      <w:r w:rsidRPr="00D73570">
        <w:rPr>
          <w:lang w:val="uk-UA"/>
        </w:rPr>
        <w:t>В пультовій - шафу для документації, стіл оператора</w:t>
      </w:r>
      <w:r w:rsidR="00833865" w:rsidRPr="00D73570">
        <w:rPr>
          <w:lang w:val="uk-UA"/>
        </w:rPr>
        <w:t xml:space="preserve"> (глибина</w:t>
      </w:r>
      <w:r w:rsidRPr="00D73570">
        <w:rPr>
          <w:lang w:val="uk-UA"/>
        </w:rPr>
        <w:t xml:space="preserve"> не менше 80 см</w:t>
      </w:r>
      <w:r w:rsidR="00833865" w:rsidRPr="00D73570">
        <w:rPr>
          <w:lang w:val="uk-UA"/>
        </w:rPr>
        <w:t xml:space="preserve">) достатньої ширини для розміщення 3 моніторів, 2 зносостійкі крісла на колесах, столик чи тумбочка на колесах для медичного </w:t>
      </w:r>
      <w:proofErr w:type="spellStart"/>
      <w:r w:rsidR="00833865" w:rsidRPr="00D73570">
        <w:rPr>
          <w:lang w:val="uk-UA"/>
        </w:rPr>
        <w:t>термопринтера</w:t>
      </w:r>
      <w:proofErr w:type="spellEnd"/>
      <w:r w:rsidR="00833865" w:rsidRPr="00D73570">
        <w:rPr>
          <w:lang w:val="uk-UA"/>
        </w:rPr>
        <w:t xml:space="preserve"> чи лазерного принтера. </w:t>
      </w:r>
    </w:p>
    <w:p w14:paraId="56B7B198" w14:textId="77777777" w:rsidR="00867D43" w:rsidRPr="00D73570" w:rsidRDefault="0022228A">
      <w:pPr>
        <w:pStyle w:val="a0"/>
        <w:rPr>
          <w:lang w:val="uk-UA"/>
        </w:rPr>
      </w:pPr>
      <w:r w:rsidRPr="00D73570">
        <w:rPr>
          <w:b/>
          <w:bCs/>
          <w:lang w:val="uk-UA"/>
        </w:rPr>
        <w:t>Необхідні документи:</w:t>
      </w:r>
      <w:r w:rsidRPr="00D73570">
        <w:rPr>
          <w:lang w:val="uk-UA"/>
        </w:rPr>
        <w:t xml:space="preserve"> </w:t>
      </w:r>
    </w:p>
    <w:p w14:paraId="4ADB1E01" w14:textId="2554BC19" w:rsidR="00867D43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 xml:space="preserve">- Креслення з точками підключення. </w:t>
      </w:r>
    </w:p>
    <w:p w14:paraId="3EC0CA3F" w14:textId="61034AED" w:rsidR="00833865" w:rsidRPr="00D73570" w:rsidRDefault="00833865">
      <w:pPr>
        <w:pStyle w:val="a0"/>
        <w:rPr>
          <w:lang w:val="uk-UA"/>
        </w:rPr>
      </w:pPr>
      <w:r w:rsidRPr="00D73570">
        <w:rPr>
          <w:lang w:val="uk-UA"/>
        </w:rPr>
        <w:t xml:space="preserve">-Проект меблів. </w:t>
      </w:r>
    </w:p>
    <w:p w14:paraId="1E6B4FDA" w14:textId="5D99504B" w:rsidR="00B37E40" w:rsidRPr="00F36C57" w:rsidRDefault="00F36C57" w:rsidP="00F36C57">
      <w:pPr>
        <w:pStyle w:val="AbstractTitle"/>
        <w:ind w:firstLine="567"/>
        <w:jc w:val="left"/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</w:pPr>
      <w:r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5</w:t>
      </w:r>
      <w:r w:rsidR="00B37E40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. Монтаж апарату КТ</w:t>
      </w:r>
      <w:r w:rsidR="00EC1A9B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 xml:space="preserve"> </w:t>
      </w:r>
      <w:proofErr w:type="spellStart"/>
      <w:r w:rsidR="002B00AF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Fujifilm</w:t>
      </w:r>
      <w:proofErr w:type="spellEnd"/>
      <w:r w:rsidR="002B00AF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 xml:space="preserve"> </w:t>
      </w:r>
      <w:r w:rsidR="00EC1A9B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 xml:space="preserve">SCENARIA </w:t>
      </w:r>
      <w:proofErr w:type="spellStart"/>
      <w:r w:rsidR="00EC1A9B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View</w:t>
      </w:r>
      <w:proofErr w:type="spellEnd"/>
      <w:r w:rsidR="00B37E40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 xml:space="preserve"> та пусконалагоджувальні </w:t>
      </w:r>
      <w:r w:rsidR="00EC1A9B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роботи</w:t>
      </w:r>
    </w:p>
    <w:p w14:paraId="71A61D20" w14:textId="77777777" w:rsidR="002B00AF" w:rsidRPr="00D73570" w:rsidRDefault="00EC1A9B">
      <w:pPr>
        <w:pStyle w:val="a0"/>
        <w:rPr>
          <w:lang w:val="uk-UA"/>
        </w:rPr>
      </w:pPr>
      <w:r w:rsidRPr="00D73570">
        <w:rPr>
          <w:lang w:val="uk-UA"/>
        </w:rPr>
        <w:t xml:space="preserve">Має </w:t>
      </w:r>
      <w:proofErr w:type="spellStart"/>
      <w:r w:rsidRPr="00D73570">
        <w:rPr>
          <w:lang w:val="uk-UA"/>
        </w:rPr>
        <w:t>здійснюватись</w:t>
      </w:r>
      <w:proofErr w:type="spellEnd"/>
      <w:r w:rsidRPr="00D73570">
        <w:rPr>
          <w:lang w:val="uk-UA"/>
        </w:rPr>
        <w:t xml:space="preserve"> на підставі діючого на момент монтажу договору організацією, що має дійсну ліцензію на монтаж та пусконалагоджувальні роботи </w:t>
      </w:r>
      <w:r w:rsidR="002B00AF" w:rsidRPr="00D73570">
        <w:rPr>
          <w:lang w:val="uk-UA"/>
        </w:rPr>
        <w:t xml:space="preserve">даного виду обладнання. </w:t>
      </w:r>
    </w:p>
    <w:p w14:paraId="4BFA97F3" w14:textId="470747BE" w:rsidR="002B00AF" w:rsidRPr="00D73570" w:rsidRDefault="002B00AF">
      <w:pPr>
        <w:pStyle w:val="a0"/>
        <w:rPr>
          <w:lang w:val="uk-UA"/>
        </w:rPr>
      </w:pPr>
      <w:r w:rsidRPr="00D73570">
        <w:rPr>
          <w:lang w:val="uk-UA"/>
        </w:rPr>
        <w:t xml:space="preserve">Після завершення робіт має бути підписаний акт вводу в експлуатацію з відміткою про навчання персоналу </w:t>
      </w:r>
      <w:proofErr w:type="spellStart"/>
      <w:r w:rsidRPr="00D73570">
        <w:rPr>
          <w:lang w:val="uk-UA"/>
        </w:rPr>
        <w:t>кат.А</w:t>
      </w:r>
      <w:proofErr w:type="spellEnd"/>
      <w:r w:rsidRPr="00D73570">
        <w:rPr>
          <w:lang w:val="uk-UA"/>
        </w:rPr>
        <w:t xml:space="preserve"> (поіменно з підписами), </w:t>
      </w:r>
      <w:r w:rsidR="004878E8" w:rsidRPr="00D73570">
        <w:rPr>
          <w:lang w:val="uk-UA"/>
        </w:rPr>
        <w:t xml:space="preserve">та гарантійними </w:t>
      </w:r>
      <w:proofErr w:type="spellStart"/>
      <w:r w:rsidR="004878E8" w:rsidRPr="00D73570">
        <w:rPr>
          <w:lang w:val="uk-UA"/>
        </w:rPr>
        <w:t>зобовʼязаннями</w:t>
      </w:r>
      <w:proofErr w:type="spellEnd"/>
      <w:r w:rsidR="004878E8" w:rsidRPr="00D73570">
        <w:rPr>
          <w:lang w:val="uk-UA"/>
        </w:rPr>
        <w:t xml:space="preserve"> або договір на сервісне обслуговування з моменту введення в експлуатацію</w:t>
      </w:r>
      <w:r w:rsidRPr="00D73570">
        <w:rPr>
          <w:lang w:val="uk-UA"/>
        </w:rPr>
        <w:t xml:space="preserve">. </w:t>
      </w:r>
    </w:p>
    <w:p w14:paraId="0AE21907" w14:textId="666A88FA" w:rsidR="000F07FE" w:rsidRPr="00F36C57" w:rsidRDefault="00F36C57" w:rsidP="00F36C57">
      <w:pPr>
        <w:pStyle w:val="AbstractTitle"/>
        <w:ind w:firstLine="567"/>
        <w:jc w:val="left"/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</w:pPr>
      <w:bookmarkStart w:id="5" w:name="ліцензування"/>
      <w:bookmarkEnd w:id="3"/>
      <w:r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6</w:t>
      </w:r>
      <w:r w:rsidR="0022228A" w:rsidRPr="00F36C57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. Ліцензування</w:t>
      </w:r>
    </w:p>
    <w:p w14:paraId="1EE6D159" w14:textId="77777777" w:rsidR="000F07FE" w:rsidRPr="00D73570" w:rsidRDefault="0022228A">
      <w:pPr>
        <w:pStyle w:val="FirstParagraph"/>
        <w:rPr>
          <w:lang w:val="uk-UA"/>
        </w:rPr>
      </w:pPr>
      <w:r w:rsidRPr="00D73570">
        <w:rPr>
          <w:lang w:val="uk-UA"/>
        </w:rPr>
        <w:t>Після завершення робіт та перевірки відповідності приміщення вимогам необхідно підготувати та подати документи для отримання ліцензії ДІЯР.</w:t>
      </w:r>
    </w:p>
    <w:p w14:paraId="6479C3DE" w14:textId="77777777" w:rsidR="00E236E5" w:rsidRPr="00D73570" w:rsidRDefault="0022228A">
      <w:pPr>
        <w:pStyle w:val="a0"/>
        <w:rPr>
          <w:lang w:val="uk-UA"/>
        </w:rPr>
      </w:pPr>
      <w:r w:rsidRPr="00D73570">
        <w:rPr>
          <w:b/>
          <w:bCs/>
          <w:lang w:val="uk-UA"/>
        </w:rPr>
        <w:t>Етапи процедури:</w:t>
      </w:r>
      <w:r w:rsidRPr="00D73570">
        <w:rPr>
          <w:lang w:val="uk-UA"/>
        </w:rPr>
        <w:t xml:space="preserve"> </w:t>
      </w:r>
    </w:p>
    <w:p w14:paraId="1B66913F" w14:textId="77777777" w:rsidR="00E236E5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>- Оформлення санітарного паспорту кабінету (СЕС).</w:t>
      </w:r>
    </w:p>
    <w:p w14:paraId="27438C43" w14:textId="2EF9717E" w:rsidR="00E236E5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 xml:space="preserve"> - Дозиметричні заміри та протоколи</w:t>
      </w:r>
      <w:r w:rsidR="004878E8" w:rsidRPr="00D73570">
        <w:rPr>
          <w:lang w:val="uk-UA"/>
        </w:rPr>
        <w:t xml:space="preserve"> ліцензованою організацією</w:t>
      </w:r>
      <w:r w:rsidRPr="00D73570">
        <w:rPr>
          <w:lang w:val="uk-UA"/>
        </w:rPr>
        <w:t>.</w:t>
      </w:r>
    </w:p>
    <w:p w14:paraId="6D532A79" w14:textId="77777777" w:rsidR="00E236E5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 xml:space="preserve"> - Формування пакету документів </w:t>
      </w:r>
      <w:r w:rsidR="00E236E5" w:rsidRPr="00D73570">
        <w:rPr>
          <w:lang w:val="uk-UA"/>
        </w:rPr>
        <w:t xml:space="preserve">та </w:t>
      </w:r>
      <w:r w:rsidRPr="00D73570">
        <w:rPr>
          <w:lang w:val="uk-UA"/>
        </w:rPr>
        <w:t xml:space="preserve">документів до ДІЯР через портал «Дія» або поштою. </w:t>
      </w:r>
    </w:p>
    <w:p w14:paraId="17FA18D4" w14:textId="3283CBFC" w:rsidR="000F07FE" w:rsidRPr="00D73570" w:rsidRDefault="0022228A">
      <w:pPr>
        <w:pStyle w:val="a0"/>
        <w:rPr>
          <w:lang w:val="uk-UA"/>
        </w:rPr>
      </w:pPr>
      <w:r w:rsidRPr="00D73570">
        <w:rPr>
          <w:lang w:val="uk-UA"/>
        </w:rPr>
        <w:t>- Отримання ліцензії.</w:t>
      </w:r>
    </w:p>
    <w:p w14:paraId="05355AE4" w14:textId="6AEEB546" w:rsidR="004878E8" w:rsidRPr="00D73570" w:rsidRDefault="004878E8">
      <w:pPr>
        <w:pStyle w:val="a0"/>
        <w:rPr>
          <w:lang w:val="uk-UA"/>
        </w:rPr>
      </w:pPr>
      <w:r w:rsidRPr="00D73570">
        <w:rPr>
          <w:lang w:val="uk-UA"/>
        </w:rPr>
        <w:t>-Початок експлуатації кабінету КТ.</w:t>
      </w:r>
    </w:p>
    <w:p w14:paraId="749EF2C2" w14:textId="77777777" w:rsidR="000F07FE" w:rsidRPr="00D73570" w:rsidRDefault="005244CD">
      <w:pPr>
        <w:rPr>
          <w:lang w:val="uk-UA"/>
        </w:rPr>
      </w:pPr>
      <w:r>
        <w:rPr>
          <w:noProof/>
          <w:lang w:val="uk-UA"/>
        </w:rPr>
        <w:pict w14:anchorId="0B3E5F8A">
          <v:rect id="_x0000_i1025" alt="" style="width:451.3pt;height:.05pt;mso-width-percent:0;mso-height-percent:0;mso-width-percent:0;mso-height-percent:0" o:hralign="center" o:hrstd="t" o:hr="t"/>
        </w:pict>
      </w:r>
    </w:p>
    <w:p w14:paraId="10D401C7" w14:textId="0E92F1F5" w:rsidR="000F07FE" w:rsidRPr="000F6A25" w:rsidRDefault="000F6A25" w:rsidP="000F6A25">
      <w:pPr>
        <w:pStyle w:val="AbstractTitle"/>
        <w:ind w:firstLine="567"/>
        <w:jc w:val="left"/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</w:pPr>
      <w:bookmarkStart w:id="6" w:name="контроль-та-відповідальність"/>
      <w:bookmarkEnd w:id="5"/>
      <w:r w:rsidRPr="000F6A25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7</w:t>
      </w:r>
      <w:r w:rsidR="0022228A" w:rsidRPr="000F6A25">
        <w:rPr>
          <w:b w:val="0"/>
          <w:bCs/>
          <w:i/>
          <w:iCs/>
          <w:color w:val="0F4761" w:themeColor="accent1" w:themeShade="BF"/>
          <w:sz w:val="24"/>
          <w:szCs w:val="24"/>
          <w:lang w:val="uk-UA"/>
        </w:rPr>
        <w:t>. Контроль та відповідальність</w:t>
      </w:r>
    </w:p>
    <w:p w14:paraId="3054E82A" w14:textId="2E3AA56F" w:rsidR="000F07FE" w:rsidRPr="00D73570" w:rsidRDefault="0022228A">
      <w:pPr>
        <w:pStyle w:val="FirstParagraph"/>
        <w:rPr>
          <w:lang w:val="uk-UA"/>
        </w:rPr>
      </w:pPr>
      <w:r w:rsidRPr="00D73570">
        <w:rPr>
          <w:lang w:val="uk-UA"/>
        </w:rPr>
        <w:t xml:space="preserve">Контроль за якістю робіт, комплектністю та достовірністю документів здійснює відповідальна комісія закладу та технічний нагляд, призначений наказом керівника установи. Технічний нагляд перевіряє відповідність робіт </w:t>
      </w:r>
      <w:proofErr w:type="spellStart"/>
      <w:r w:rsidRPr="00D73570">
        <w:rPr>
          <w:lang w:val="uk-UA"/>
        </w:rPr>
        <w:t>проєктній</w:t>
      </w:r>
      <w:proofErr w:type="spellEnd"/>
      <w:r w:rsidRPr="00D73570">
        <w:rPr>
          <w:lang w:val="uk-UA"/>
        </w:rPr>
        <w:t xml:space="preserve"> документації та будівельним нормам. </w:t>
      </w:r>
    </w:p>
    <w:p w14:paraId="445B67ED" w14:textId="41C6CFA0" w:rsidR="000F07FE" w:rsidRPr="00D73570" w:rsidRDefault="00B37E40" w:rsidP="005364EF">
      <w:pPr>
        <w:pStyle w:val="a0"/>
        <w:rPr>
          <w:lang w:val="uk-UA"/>
        </w:rPr>
      </w:pPr>
      <w:r w:rsidRPr="00D73570">
        <w:rPr>
          <w:lang w:val="uk-UA"/>
        </w:rPr>
        <w:t>Відповідальний за радіаційну безпеку подає документи до ДІЯР та забезпечує координацію та усунення недоліків у разі необхідності.</w:t>
      </w:r>
    </w:p>
    <w:bookmarkEnd w:id="0"/>
    <w:bookmarkEnd w:id="6"/>
    <w:p w14:paraId="2AD5200C" w14:textId="3D45449D" w:rsidR="000F07FE" w:rsidRPr="005364EF" w:rsidRDefault="000F07FE">
      <w:pPr>
        <w:pStyle w:val="a0"/>
      </w:pPr>
    </w:p>
    <w:sectPr w:rsidR="000F07FE" w:rsidRPr="005364EF" w:rsidSect="00D73570">
      <w:footnotePr>
        <w:numRestart w:val="eachSect"/>
      </w:footnotePr>
      <w:pgSz w:w="12240" w:h="15840"/>
      <w:pgMar w:top="1134" w:right="47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35846ED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6F50B57"/>
    <w:multiLevelType w:val="multilevel"/>
    <w:tmpl w:val="77D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00AE"/>
    <w:multiLevelType w:val="multilevel"/>
    <w:tmpl w:val="63C8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020833">
    <w:abstractNumId w:val="0"/>
  </w:num>
  <w:num w:numId="2" w16cid:durableId="466779064">
    <w:abstractNumId w:val="1"/>
  </w:num>
  <w:num w:numId="3" w16cid:durableId="93116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FE"/>
    <w:rsid w:val="000F07FE"/>
    <w:rsid w:val="000F6A25"/>
    <w:rsid w:val="00142067"/>
    <w:rsid w:val="00184C76"/>
    <w:rsid w:val="00210F56"/>
    <w:rsid w:val="0022228A"/>
    <w:rsid w:val="002B00AF"/>
    <w:rsid w:val="002B595B"/>
    <w:rsid w:val="004878E8"/>
    <w:rsid w:val="005244CD"/>
    <w:rsid w:val="005364EF"/>
    <w:rsid w:val="005B3186"/>
    <w:rsid w:val="0064732B"/>
    <w:rsid w:val="00735A19"/>
    <w:rsid w:val="007B2502"/>
    <w:rsid w:val="00833865"/>
    <w:rsid w:val="00867D43"/>
    <w:rsid w:val="008C72E4"/>
    <w:rsid w:val="0097666F"/>
    <w:rsid w:val="009C1998"/>
    <w:rsid w:val="00A06F3C"/>
    <w:rsid w:val="00A57D04"/>
    <w:rsid w:val="00B27632"/>
    <w:rsid w:val="00B32DA0"/>
    <w:rsid w:val="00B37E40"/>
    <w:rsid w:val="00BC5792"/>
    <w:rsid w:val="00CE08F5"/>
    <w:rsid w:val="00CE298F"/>
    <w:rsid w:val="00D73570"/>
    <w:rsid w:val="00E236E5"/>
    <w:rsid w:val="00E24B7A"/>
    <w:rsid w:val="00EC1A9B"/>
    <w:rsid w:val="00F3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BAAD4"/>
  <w15:docId w15:val="{FDA7A440-5D60-094B-B097-0FEC85AC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8E8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link w:val="a5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1"/>
    <w:link w:val="a4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4"/>
    <w:next w:val="a0"/>
    <w:link w:val="a7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a7">
    <w:name w:val="Підзаголовок Знак"/>
    <w:basedOn w:val="a1"/>
    <w:link w:val="a6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8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9">
    <w:name w:val="Bibliography"/>
    <w:basedOn w:val="a"/>
    <w:qFormat/>
  </w:style>
  <w:style w:type="character" w:customStyle="1" w:styleId="10">
    <w:name w:val="Заголовок 1 Знак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a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b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b"/>
    <w:next w:val="ab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a"/>
  </w:style>
  <w:style w:type="paragraph" w:styleId="ac">
    <w:name w:val="caption"/>
    <w:basedOn w:val="a"/>
    <w:link w:val="ad"/>
    <w:pPr>
      <w:spacing w:after="120"/>
    </w:pPr>
    <w:rPr>
      <w:i/>
    </w:rPr>
  </w:style>
  <w:style w:type="paragraph" w:customStyle="1" w:styleId="TableCaption">
    <w:name w:val="Table Caption"/>
    <w:basedOn w:val="ac"/>
    <w:pPr>
      <w:keepNext/>
    </w:pPr>
  </w:style>
  <w:style w:type="paragraph" w:customStyle="1" w:styleId="ImageCaption">
    <w:name w:val="Image Caption"/>
    <w:basedOn w:val="ac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d">
    <w:name w:val="Назва об'єкта Знак"/>
    <w:basedOn w:val="a1"/>
    <w:link w:val="ac"/>
  </w:style>
  <w:style w:type="character" w:customStyle="1" w:styleId="VerbatimChar">
    <w:name w:val="Verbatim Char"/>
    <w:basedOn w:val="ad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d"/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rPr>
      <w:color w:val="156082" w:themeColor="accent1"/>
    </w:rPr>
  </w:style>
  <w:style w:type="paragraph" w:styleId="af0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rvps2">
    <w:name w:val="rvps2"/>
    <w:basedOn w:val="a"/>
    <w:rsid w:val="00E236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7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63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3752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Олена Хмелюк</cp:lastModifiedBy>
  <cp:revision>14</cp:revision>
  <dcterms:created xsi:type="dcterms:W3CDTF">2025-08-12T09:05:00Z</dcterms:created>
  <dcterms:modified xsi:type="dcterms:W3CDTF">2025-08-13T09:14:00Z</dcterms:modified>
</cp:coreProperties>
</file>