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E90A" w14:textId="77777777" w:rsidR="001562A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1562A6">
        <w:rPr>
          <w:b/>
          <w:strike/>
          <w:color w:val="EE0000"/>
          <w:sz w:val="22"/>
          <w:szCs w:val="22"/>
          <w:lang w:val="uk-UA"/>
        </w:rPr>
        <w:t>«</w:t>
      </w:r>
      <w:r w:rsidR="0053593D" w:rsidRPr="001562A6">
        <w:rPr>
          <w:b/>
          <w:strike/>
          <w:color w:val="EE0000"/>
          <w:sz w:val="22"/>
          <w:szCs w:val="22"/>
          <w:lang w:val="uk-UA"/>
        </w:rPr>
        <w:t>15</w:t>
      </w:r>
      <w:r w:rsidR="005A5F8A" w:rsidRPr="001562A6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53593D" w:rsidRPr="001562A6">
        <w:rPr>
          <w:b/>
          <w:strike/>
          <w:color w:val="EE0000"/>
          <w:sz w:val="22"/>
          <w:szCs w:val="22"/>
          <w:lang w:val="uk-UA"/>
        </w:rPr>
        <w:t>липня</w:t>
      </w:r>
      <w:r w:rsidR="005A5F8A" w:rsidRPr="001562A6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53593D" w:rsidRPr="001562A6">
        <w:rPr>
          <w:b/>
          <w:strike/>
          <w:color w:val="EE0000"/>
          <w:sz w:val="22"/>
          <w:szCs w:val="22"/>
          <w:lang w:val="uk-UA"/>
        </w:rPr>
        <w:t>5</w:t>
      </w:r>
      <w:r w:rsidR="005A5F8A" w:rsidRPr="001562A6">
        <w:rPr>
          <w:b/>
          <w:strike/>
          <w:color w:val="EE0000"/>
          <w:sz w:val="22"/>
          <w:szCs w:val="22"/>
          <w:lang w:val="uk-UA"/>
        </w:rPr>
        <w:t xml:space="preserve"> р.</w:t>
      </w:r>
      <w:r w:rsidR="00AB5249" w:rsidRPr="001562A6">
        <w:rPr>
          <w:b/>
          <w:color w:val="EE0000"/>
          <w:sz w:val="22"/>
          <w:szCs w:val="22"/>
          <w:lang w:val="uk-UA"/>
        </w:rPr>
        <w:t xml:space="preserve">  </w:t>
      </w:r>
    </w:p>
    <w:p w14:paraId="7144E78C" w14:textId="2FFDC1C1" w:rsidR="001562A6" w:rsidRDefault="001562A6" w:rsidP="001562A6">
      <w:pPr>
        <w:tabs>
          <w:tab w:val="left" w:pos="840"/>
          <w:tab w:val="right" w:pos="9900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«30» липня 2025 р.</w:t>
      </w:r>
    </w:p>
    <w:p w14:paraId="1EA80489" w14:textId="3C5D521D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A9EE3F0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B87F3E">
        <w:rPr>
          <w:b/>
          <w:bCs/>
          <w:sz w:val="22"/>
          <w:szCs w:val="22"/>
          <w:lang w:val="uk-UA"/>
        </w:rPr>
        <w:t>_2081ОК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CCE6A2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1562A6">
        <w:rPr>
          <w:spacing w:val="-4"/>
          <w:sz w:val="22"/>
          <w:szCs w:val="22"/>
          <w:lang w:val="uk-UA"/>
        </w:rPr>
        <w:t xml:space="preserve">продовження </w:t>
      </w:r>
      <w:r w:rsidRPr="000B48D8">
        <w:rPr>
          <w:spacing w:val="-4"/>
          <w:sz w:val="22"/>
          <w:szCs w:val="22"/>
          <w:lang w:val="uk-UA"/>
        </w:rPr>
        <w:t>тендер</w:t>
      </w:r>
      <w:r w:rsidR="001562A6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886B9C" w:rsidRPr="00B54363">
        <w:rPr>
          <w:spacing w:val="-4"/>
          <w:sz w:val="22"/>
          <w:szCs w:val="22"/>
          <w:lang w:val="uk-UA"/>
        </w:rPr>
        <w:t>консалтингови</w:t>
      </w:r>
      <w:r w:rsidR="00886B9C" w:rsidRPr="00A73352">
        <w:rPr>
          <w:spacing w:val="-4"/>
          <w:sz w:val="22"/>
          <w:szCs w:val="22"/>
          <w:lang w:val="uk-UA"/>
        </w:rPr>
        <w:t xml:space="preserve">х послуг </w:t>
      </w:r>
      <w:r w:rsidR="007014FA">
        <w:rPr>
          <w:spacing w:val="-4"/>
          <w:sz w:val="22"/>
          <w:szCs w:val="22"/>
          <w:lang w:val="uk-UA"/>
        </w:rPr>
        <w:t>із</w:t>
      </w:r>
      <w:r w:rsidR="00886B9C" w:rsidRPr="00A73352">
        <w:rPr>
          <w:spacing w:val="-4"/>
          <w:sz w:val="22"/>
          <w:szCs w:val="22"/>
          <w:lang w:val="uk-UA"/>
        </w:rPr>
        <w:t xml:space="preserve"> розроб</w:t>
      </w:r>
      <w:r w:rsidR="007014FA">
        <w:rPr>
          <w:spacing w:val="-4"/>
          <w:sz w:val="22"/>
          <w:szCs w:val="22"/>
          <w:lang w:val="uk-UA"/>
        </w:rPr>
        <w:t>ки</w:t>
      </w:r>
      <w:r w:rsidR="00886B9C" w:rsidRPr="00A73352">
        <w:rPr>
          <w:spacing w:val="-4"/>
          <w:sz w:val="22"/>
          <w:szCs w:val="22"/>
          <w:lang w:val="uk-UA"/>
        </w:rPr>
        <w:t xml:space="preserve"> методології </w:t>
      </w:r>
      <w:r w:rsidR="00886B9C" w:rsidRPr="30657A41">
        <w:rPr>
          <w:sz w:val="22"/>
          <w:szCs w:val="22"/>
          <w:lang w:val="uk-UA"/>
        </w:rPr>
        <w:t>оцінки доцільності надання грошової або ваучерної допомоги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504DD9">
        <w:trPr>
          <w:trHeight w:val="1251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4020815C" w:rsidR="001520C0" w:rsidRPr="00504DD9" w:rsidRDefault="00504DD9" w:rsidP="003143E8">
            <w:pPr>
              <w:ind w:right="92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504DD9">
              <w:rPr>
                <w:sz w:val="22"/>
                <w:szCs w:val="22"/>
                <w:lang w:val="uk-UA"/>
              </w:rPr>
              <w:t xml:space="preserve">Консалтингові послуги </w:t>
            </w:r>
            <w:r>
              <w:rPr>
                <w:sz w:val="22"/>
                <w:szCs w:val="22"/>
                <w:lang w:val="uk-UA"/>
              </w:rPr>
              <w:t>із</w:t>
            </w:r>
            <w:r w:rsidRPr="00504DD9">
              <w:rPr>
                <w:sz w:val="22"/>
                <w:szCs w:val="22"/>
                <w:lang w:val="uk-UA"/>
              </w:rPr>
              <w:t xml:space="preserve"> розроб</w:t>
            </w:r>
            <w:r>
              <w:rPr>
                <w:sz w:val="22"/>
                <w:szCs w:val="22"/>
                <w:lang w:val="uk-UA"/>
              </w:rPr>
              <w:t>ки</w:t>
            </w:r>
            <w:r w:rsidRPr="00504DD9">
              <w:rPr>
                <w:sz w:val="22"/>
                <w:szCs w:val="22"/>
                <w:lang w:val="uk-UA"/>
              </w:rPr>
              <w:t xml:space="preserve"> методології оцінки потреб населення та доцільності надання грошової або ваучерної допомоги</w:t>
            </w:r>
          </w:p>
        </w:tc>
        <w:tc>
          <w:tcPr>
            <w:tcW w:w="2835" w:type="dxa"/>
            <w:vAlign w:val="center"/>
          </w:tcPr>
          <w:p w14:paraId="4F5DE3BC" w14:textId="529AF80F" w:rsidR="001520C0" w:rsidRPr="00E4561B" w:rsidRDefault="0007137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E4561B">
              <w:rPr>
                <w:spacing w:val="-6"/>
                <w:sz w:val="22"/>
                <w:szCs w:val="22"/>
                <w:lang w:val="uk-UA"/>
              </w:rPr>
              <w:t>Відповідно до потреб Замовника до кінця 2025 року</w:t>
            </w:r>
          </w:p>
        </w:tc>
        <w:tc>
          <w:tcPr>
            <w:tcW w:w="3260" w:type="dxa"/>
            <w:vAlign w:val="center"/>
          </w:tcPr>
          <w:p w14:paraId="5FF68500" w14:textId="14849FE2" w:rsidR="001520C0" w:rsidRPr="00E4561B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E4561B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71374" w:rsidRPr="00E4561B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 w:rsidRPr="00E4561B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71374" w:rsidRPr="00E4561B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00E4561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E4561B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3D1EC29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991A72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0D36D2D9" w14:textId="4430470F" w:rsidR="00E9191E" w:rsidRPr="00064910" w:rsidRDefault="00E9191E" w:rsidP="00E9191E">
      <w:pPr>
        <w:spacing w:before="76" w:line="250" w:lineRule="exact"/>
        <w:ind w:right="-566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</w:t>
      </w:r>
      <w:r w:rsidRPr="30657A41">
        <w:rPr>
          <w:b/>
          <w:bCs/>
          <w:sz w:val="22"/>
          <w:szCs w:val="22"/>
          <w:lang w:val="uk-UA"/>
        </w:rPr>
        <w:t>Бажаний термін</w:t>
      </w:r>
      <w:r w:rsidRPr="30657A41">
        <w:rPr>
          <w:b/>
          <w:bCs/>
          <w:spacing w:val="-5"/>
          <w:sz w:val="22"/>
          <w:szCs w:val="22"/>
          <w:lang w:val="uk-UA"/>
        </w:rPr>
        <w:t xml:space="preserve"> </w:t>
      </w:r>
      <w:r w:rsidR="007C27B8">
        <w:rPr>
          <w:b/>
          <w:bCs/>
          <w:sz w:val="22"/>
          <w:szCs w:val="22"/>
          <w:lang w:val="uk-UA"/>
        </w:rPr>
        <w:t>надання послуг</w:t>
      </w:r>
      <w:r w:rsidRPr="006E251C">
        <w:rPr>
          <w:b/>
          <w:bCs/>
          <w:sz w:val="22"/>
          <w:szCs w:val="22"/>
          <w:lang w:val="uk-UA"/>
        </w:rPr>
        <w:t xml:space="preserve"> </w:t>
      </w:r>
      <w:r w:rsidRPr="007C27B8">
        <w:rPr>
          <w:b/>
          <w:bCs/>
          <w:sz w:val="22"/>
          <w:szCs w:val="22"/>
          <w:lang w:val="uk-UA"/>
        </w:rPr>
        <w:t xml:space="preserve">по </w:t>
      </w:r>
      <w:r w:rsidR="00E20EEF" w:rsidRPr="007C27B8">
        <w:rPr>
          <w:b/>
          <w:bCs/>
          <w:sz w:val="22"/>
          <w:szCs w:val="22"/>
          <w:lang w:val="uk-UA"/>
        </w:rPr>
        <w:t>розробці та тестуванню ме</w:t>
      </w:r>
      <w:r w:rsidR="005343A5" w:rsidRPr="007C27B8">
        <w:rPr>
          <w:b/>
          <w:bCs/>
          <w:sz w:val="22"/>
          <w:szCs w:val="22"/>
          <w:lang w:val="uk-UA"/>
        </w:rPr>
        <w:t>тодології</w:t>
      </w:r>
      <w:r w:rsidRPr="007C27B8">
        <w:rPr>
          <w:b/>
          <w:bCs/>
          <w:sz w:val="22"/>
          <w:szCs w:val="22"/>
          <w:lang w:val="uk-UA"/>
        </w:rPr>
        <w:t xml:space="preserve">:  </w:t>
      </w:r>
      <w:r w:rsidRPr="006E251C">
        <w:rPr>
          <w:sz w:val="22"/>
          <w:szCs w:val="22"/>
          <w:lang w:val="uk-UA"/>
        </w:rPr>
        <w:t>60 календарних днів з дати укладання договору.</w:t>
      </w:r>
    </w:p>
    <w:p w14:paraId="0B43798B" w14:textId="080A7494" w:rsidR="00E9191E" w:rsidRPr="001A5E2C" w:rsidRDefault="00E9191E" w:rsidP="00E9191E">
      <w:pPr>
        <w:spacing w:line="250" w:lineRule="exact"/>
        <w:ind w:right="-566"/>
        <w:rPr>
          <w:b/>
          <w:bCs/>
          <w:sz w:val="22"/>
          <w:szCs w:val="22"/>
          <w:lang w:val="uk-UA"/>
        </w:rPr>
      </w:pPr>
      <w:r w:rsidRPr="30657A41">
        <w:rPr>
          <w:b/>
          <w:bCs/>
          <w:sz w:val="22"/>
          <w:szCs w:val="22"/>
          <w:lang w:val="uk-UA"/>
        </w:rPr>
        <w:t xml:space="preserve">     </w:t>
      </w:r>
      <w:r w:rsidR="007C27B8">
        <w:rPr>
          <w:b/>
          <w:bCs/>
          <w:sz w:val="22"/>
          <w:szCs w:val="22"/>
          <w:lang w:val="uk-UA"/>
        </w:rPr>
        <w:t>Строк</w:t>
      </w:r>
      <w:r w:rsidRPr="30657A41">
        <w:rPr>
          <w:b/>
          <w:bCs/>
          <w:spacing w:val="-5"/>
          <w:sz w:val="22"/>
          <w:szCs w:val="22"/>
          <w:lang w:val="uk-UA"/>
        </w:rPr>
        <w:t xml:space="preserve"> </w:t>
      </w:r>
      <w:r w:rsidRPr="30657A41">
        <w:rPr>
          <w:b/>
          <w:bCs/>
          <w:sz w:val="22"/>
          <w:szCs w:val="22"/>
          <w:lang w:val="uk-UA"/>
        </w:rPr>
        <w:t>надання</w:t>
      </w:r>
      <w:r w:rsidRPr="30657A41">
        <w:rPr>
          <w:b/>
          <w:bCs/>
          <w:spacing w:val="-2"/>
          <w:sz w:val="22"/>
          <w:szCs w:val="22"/>
          <w:lang w:val="uk-UA"/>
        </w:rPr>
        <w:t xml:space="preserve"> </w:t>
      </w:r>
      <w:r w:rsidRPr="30657A41">
        <w:rPr>
          <w:b/>
          <w:bCs/>
          <w:sz w:val="22"/>
          <w:szCs w:val="22"/>
          <w:lang w:val="uk-UA"/>
        </w:rPr>
        <w:t xml:space="preserve">послуг: </w:t>
      </w:r>
      <w:r w:rsidRPr="001A5E2C">
        <w:rPr>
          <w:b/>
          <w:bCs/>
          <w:sz w:val="22"/>
          <w:szCs w:val="22"/>
          <w:lang w:val="uk-UA"/>
        </w:rPr>
        <w:t xml:space="preserve"> </w:t>
      </w:r>
      <w:r w:rsidRPr="001A5E2C">
        <w:rPr>
          <w:sz w:val="22"/>
          <w:szCs w:val="22"/>
          <w:lang w:val="uk-UA"/>
        </w:rPr>
        <w:t xml:space="preserve">протягом </w:t>
      </w:r>
      <w:r>
        <w:rPr>
          <w:sz w:val="22"/>
          <w:szCs w:val="22"/>
          <w:lang w:val="uk-UA"/>
        </w:rPr>
        <w:t>2025</w:t>
      </w:r>
      <w:r w:rsidRPr="001A5E2C">
        <w:rPr>
          <w:sz w:val="22"/>
          <w:szCs w:val="22"/>
          <w:lang w:val="uk-UA"/>
        </w:rPr>
        <w:t xml:space="preserve"> року, згідно потреб Замовника</w:t>
      </w:r>
      <w:r w:rsidR="00CA01F3">
        <w:rPr>
          <w:sz w:val="22"/>
          <w:szCs w:val="22"/>
          <w:lang w:val="uk-UA"/>
        </w:rPr>
        <w:t>.</w:t>
      </w:r>
    </w:p>
    <w:p w14:paraId="369A9181" w14:textId="33BF0144" w:rsidR="00E9191E" w:rsidRPr="001A5E2C" w:rsidRDefault="00E9191E" w:rsidP="00E9191E">
      <w:pPr>
        <w:spacing w:line="250" w:lineRule="exact"/>
        <w:ind w:right="-566"/>
        <w:rPr>
          <w:b/>
          <w:bCs/>
          <w:sz w:val="22"/>
          <w:szCs w:val="22"/>
          <w:lang w:val="uk-UA"/>
        </w:rPr>
      </w:pPr>
      <w:r w:rsidRPr="30657A41">
        <w:rPr>
          <w:b/>
          <w:bCs/>
          <w:sz w:val="22"/>
          <w:szCs w:val="22"/>
          <w:lang w:val="uk-UA"/>
        </w:rPr>
        <w:t xml:space="preserve">     Місце </w:t>
      </w:r>
      <w:r w:rsidR="00AC565A">
        <w:rPr>
          <w:b/>
          <w:bCs/>
          <w:sz w:val="22"/>
          <w:szCs w:val="22"/>
          <w:lang w:val="uk-UA"/>
        </w:rPr>
        <w:t xml:space="preserve">та формат </w:t>
      </w:r>
      <w:r w:rsidRPr="30657A41">
        <w:rPr>
          <w:b/>
          <w:bCs/>
          <w:sz w:val="22"/>
          <w:szCs w:val="22"/>
          <w:lang w:val="uk-UA"/>
        </w:rPr>
        <w:t>надання послуг</w:t>
      </w:r>
      <w:r w:rsidRPr="30657A41">
        <w:rPr>
          <w:sz w:val="22"/>
          <w:szCs w:val="22"/>
          <w:lang w:val="uk-UA"/>
        </w:rPr>
        <w:t xml:space="preserve">: оф-лайн формат - на території, організованій Замовником, або он-лайн формат - з використанням платформ </w:t>
      </w:r>
      <w:r w:rsidRPr="30657A41">
        <w:rPr>
          <w:sz w:val="22"/>
          <w:szCs w:val="22"/>
          <w:lang w:val="en-US"/>
        </w:rPr>
        <w:t>Zoom</w:t>
      </w:r>
      <w:r w:rsidRPr="00D05DF2">
        <w:rPr>
          <w:sz w:val="22"/>
          <w:szCs w:val="22"/>
          <w:lang w:val="uk-UA"/>
        </w:rPr>
        <w:t>/</w:t>
      </w:r>
      <w:r w:rsidRPr="30657A41">
        <w:rPr>
          <w:sz w:val="22"/>
          <w:szCs w:val="22"/>
          <w:lang w:val="en-US"/>
        </w:rPr>
        <w:t>Skype</w:t>
      </w:r>
      <w:r w:rsidRPr="00D05DF2">
        <w:rPr>
          <w:sz w:val="22"/>
          <w:szCs w:val="22"/>
          <w:lang w:val="uk-UA"/>
        </w:rPr>
        <w:t>/</w:t>
      </w:r>
      <w:r w:rsidRPr="30657A41">
        <w:rPr>
          <w:sz w:val="22"/>
          <w:szCs w:val="22"/>
          <w:lang w:val="en-US"/>
        </w:rPr>
        <w:t>Microsoft</w:t>
      </w:r>
      <w:r w:rsidRPr="00D05DF2">
        <w:rPr>
          <w:sz w:val="22"/>
          <w:szCs w:val="22"/>
          <w:lang w:val="uk-UA"/>
        </w:rPr>
        <w:t xml:space="preserve"> </w:t>
      </w:r>
      <w:r w:rsidRPr="30657A41">
        <w:rPr>
          <w:sz w:val="22"/>
          <w:szCs w:val="22"/>
          <w:lang w:val="en-US"/>
        </w:rPr>
        <w:t>Teams</w:t>
      </w:r>
      <w:r w:rsidRPr="30657A41">
        <w:rPr>
          <w:sz w:val="22"/>
          <w:szCs w:val="22"/>
          <w:lang w:val="uk-UA"/>
        </w:rPr>
        <w:t xml:space="preserve"> та платформ, запропонованих Учасником.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D05DF2" w14:paraId="17D899A6" w14:textId="77777777" w:rsidTr="00F426D4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F426D4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</w:tcPr>
          <w:p w14:paraId="2DE06AA4" w14:textId="77777777" w:rsidR="008B28DC" w:rsidRPr="000B48D8" w:rsidRDefault="008B28DC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E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5E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</w:t>
            </w:r>
            <w:r w:rsidRPr="005E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в якому зазначаються основні види діяльності.</w:t>
            </w:r>
          </w:p>
          <w:p w14:paraId="1146A742" w14:textId="1567E4EE" w:rsidR="00BC13F3" w:rsidRPr="000B48D8" w:rsidRDefault="008B28DC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E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0B48D8" w14:paraId="440D73B1" w14:textId="77777777" w:rsidTr="00F426D4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</w:tcPr>
          <w:p w14:paraId="74ED0609" w14:textId="3A50332C" w:rsidR="00BC13F3" w:rsidRPr="00E4561B" w:rsidRDefault="00D85774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F8137B"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форматі </w:t>
            </w:r>
            <w:r w:rsidR="00DE60B6"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Додатку №3.</w:t>
            </w:r>
          </w:p>
        </w:tc>
      </w:tr>
      <w:tr w:rsidR="005000CA" w:rsidRPr="00557A29" w14:paraId="5CE83AE3" w14:textId="77777777" w:rsidTr="00F426D4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E4561B" w:rsidRDefault="005000CA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E456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F426D4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2211CE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2211CE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2211CE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2211CE">
            <w:pPr>
              <w:pStyle w:val="aa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5000CA" w:rsidRDefault="006077CE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F426D4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F04B6C" w:rsidRDefault="006077CE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F426D4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D3601A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05DF2" w14:paraId="53E40327" w14:textId="77777777" w:rsidTr="00F426D4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5000CA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F426D4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5000CA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F426D4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5000CA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F426D4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5000CA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F426D4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</w:tcPr>
          <w:p w14:paraId="081249D3" w14:textId="77777777" w:rsidR="005C33EB" w:rsidRPr="000C6499" w:rsidRDefault="005C33EB" w:rsidP="002211CE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0C649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F426D4">
        <w:trPr>
          <w:trHeight w:val="2609"/>
        </w:trPr>
        <w:tc>
          <w:tcPr>
            <w:tcW w:w="601" w:type="dxa"/>
          </w:tcPr>
          <w:p w14:paraId="6694A1F9" w14:textId="46FB196B" w:rsidR="005C33EB" w:rsidRPr="00BC13F3" w:rsidRDefault="005C33EB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5C3317AD" w14:textId="0F712978" w:rsidR="005C33EB" w:rsidRPr="005A5F8A" w:rsidRDefault="00D9723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Інформація про </w:t>
            </w:r>
            <w:r w:rsidR="00263F2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досвід</w:t>
            </w:r>
            <w:r w:rsidR="005C33EB" w:rsidRPr="00B66F6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350" w:type="dxa"/>
          </w:tcPr>
          <w:p w14:paraId="73AF889A" w14:textId="77777777" w:rsidR="00B27870" w:rsidRPr="000C6499" w:rsidRDefault="002A4877" w:rsidP="002211CE">
            <w:pPr>
              <w:pStyle w:val="aa"/>
              <w:numPr>
                <w:ilvl w:val="0"/>
                <w:numId w:val="22"/>
              </w:numPr>
              <w:ind w:left="66" w:firstLine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Портфоліо </w:t>
            </w:r>
            <w:r w:rsidR="000A14F8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компанії/</w:t>
            </w:r>
            <w:r w:rsidR="000C5D97" w:rsidRPr="00D05DF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організації </w:t>
            </w:r>
            <w:r w:rsidR="000A14F8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з описом досвіду</w:t>
            </w:r>
            <w:r w:rsidR="00B27870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та успішних кейсів. </w:t>
            </w:r>
          </w:p>
          <w:p w14:paraId="787536ED" w14:textId="181F084E" w:rsidR="00BD1284" w:rsidRPr="000C6499" w:rsidRDefault="00BD1284" w:rsidP="002211CE">
            <w:pPr>
              <w:pStyle w:val="aa"/>
              <w:numPr>
                <w:ilvl w:val="0"/>
                <w:numId w:val="22"/>
              </w:numPr>
              <w:ind w:left="66" w:firstLine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Документи для підтвердження історії надання аналогічних послуг</w:t>
            </w:r>
            <w:r w:rsidR="00673402"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r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договорів на надання аналогічних послуг або </w:t>
            </w:r>
            <w:proofErr w:type="spellStart"/>
            <w:r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референс</w:t>
            </w:r>
            <w:proofErr w:type="spellEnd"/>
            <w:r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-лист з назвами та контактами замовників, листи відгуки та листи рекомендації</w:t>
            </w:r>
            <w:r w:rsidR="00673402"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Pr="000C6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7FCD2231" w14:textId="74B56C65" w:rsidR="005C33EB" w:rsidRPr="000C6499" w:rsidRDefault="00B27870" w:rsidP="005E705D">
            <w:pPr>
              <w:pStyle w:val="aa"/>
              <w:numPr>
                <w:ilvl w:val="0"/>
                <w:numId w:val="22"/>
              </w:numPr>
              <w:spacing w:after="0" w:afterAutospacing="0"/>
              <w:ind w:left="66" w:firstLine="294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Резюме команди</w:t>
            </w:r>
            <w:r w:rsidR="000C5D97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C5D97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виконавців</w:t>
            </w:r>
            <w:proofErr w:type="spellEnd"/>
            <w:r w:rsidR="002F2A41" w:rsidRPr="000C649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F2A41" w:rsidRPr="000C649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 інформацією про освіту, досвід, участь в подібних проектах, тощо</w:t>
            </w:r>
            <w:r w:rsidR="005E70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  <w:tr w:rsidR="00354949" w:rsidRPr="00557A29" w14:paraId="3A4BB378" w14:textId="77777777" w:rsidTr="00F426D4">
        <w:trPr>
          <w:trHeight w:val="96"/>
        </w:trPr>
        <w:tc>
          <w:tcPr>
            <w:tcW w:w="601" w:type="dxa"/>
          </w:tcPr>
          <w:p w14:paraId="25FEE058" w14:textId="77777777" w:rsidR="00354949" w:rsidRPr="00BC13F3" w:rsidRDefault="00354949" w:rsidP="002211C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3DF15534" w14:textId="3FDB580B" w:rsidR="00354949" w:rsidRDefault="005B0F63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Інша інформація</w:t>
            </w:r>
          </w:p>
        </w:tc>
        <w:tc>
          <w:tcPr>
            <w:tcW w:w="4350" w:type="dxa"/>
          </w:tcPr>
          <w:p w14:paraId="6E5E7F6F" w14:textId="4D0603B4" w:rsidR="00354949" w:rsidRPr="000C6499" w:rsidRDefault="00E37D52" w:rsidP="00C17F64">
            <w:pPr>
              <w:pStyle w:val="af"/>
              <w:numPr>
                <w:ilvl w:val="0"/>
                <w:numId w:val="23"/>
              </w:numPr>
              <w:ind w:left="66" w:firstLine="283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Надати к</w:t>
            </w:r>
            <w:r w:rsidR="00AB0F07" w:rsidRPr="000C6499">
              <w:rPr>
                <w:color w:val="000000" w:themeColor="text1"/>
                <w:sz w:val="22"/>
                <w:szCs w:val="22"/>
                <w:lang w:val="uk-UA"/>
              </w:rPr>
              <w:t>ороткий опис підходу до виконання завдання (до 3 сторінок) відповідно до вимог</w:t>
            </w:r>
            <w:r w:rsidR="00C17F64" w:rsidRPr="000C6499">
              <w:rPr>
                <w:color w:val="000000" w:themeColor="text1"/>
                <w:sz w:val="22"/>
                <w:szCs w:val="22"/>
                <w:lang w:val="uk-UA"/>
              </w:rPr>
              <w:t xml:space="preserve"> технічного завдання (Додаток №2)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2211CE">
      <w:pPr>
        <w:numPr>
          <w:ilvl w:val="1"/>
          <w:numId w:val="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B1BE1" w:rsidRDefault="00C20F20" w:rsidP="002211CE">
      <w:pPr>
        <w:numPr>
          <w:ilvl w:val="1"/>
          <w:numId w:val="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</w:t>
      </w:r>
      <w:r w:rsidRPr="00EB1BE1">
        <w:rPr>
          <w:rFonts w:eastAsia="Arial Unicode MS"/>
          <w:sz w:val="22"/>
          <w:szCs w:val="22"/>
          <w:lang w:val="uk-UA"/>
        </w:rPr>
        <w:t>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745E3029" w:rsidR="007654D9" w:rsidRPr="00A04F02" w:rsidRDefault="003854D6" w:rsidP="002211CE">
      <w:pPr>
        <w:numPr>
          <w:ilvl w:val="1"/>
          <w:numId w:val="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color w:val="000000" w:themeColor="text1"/>
          <w:sz w:val="22"/>
          <w:szCs w:val="22"/>
          <w:lang w:val="uk-UA"/>
        </w:rPr>
      </w:pPr>
      <w:r w:rsidRPr="00EB1BE1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EB1BE1">
        <w:rPr>
          <w:rFonts w:eastAsia="Arial Unicode MS"/>
          <w:sz w:val="22"/>
          <w:szCs w:val="22"/>
          <w:lang w:val="uk-UA"/>
        </w:rPr>
        <w:t>цінової</w:t>
      </w:r>
      <w:r w:rsidRPr="00EB1BE1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</w:t>
      </w:r>
      <w:r w:rsidRPr="00A04F02">
        <w:rPr>
          <w:rFonts w:eastAsia="Arial Unicode MS"/>
          <w:sz w:val="22"/>
          <w:szCs w:val="22"/>
          <w:lang w:val="uk-UA"/>
        </w:rPr>
        <w:t>.</w:t>
      </w:r>
      <w:r w:rsidR="00954E8C" w:rsidRPr="00A04F02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A04F02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66CA2133" w:rsidR="004E62DE" w:rsidRPr="00A04F02" w:rsidRDefault="004E62DE" w:rsidP="002211CE">
      <w:pPr>
        <w:numPr>
          <w:ilvl w:val="1"/>
          <w:numId w:val="4"/>
        </w:numPr>
        <w:ind w:left="0" w:firstLine="357"/>
        <w:jc w:val="both"/>
        <w:rPr>
          <w:color w:val="000000" w:themeColor="text1"/>
          <w:sz w:val="22"/>
          <w:szCs w:val="22"/>
          <w:lang w:val="uk-UA"/>
        </w:rPr>
      </w:pPr>
      <w:r w:rsidRPr="00A04F02">
        <w:rPr>
          <w:color w:val="000000" w:themeColor="text1"/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</w:t>
      </w:r>
      <w:r w:rsidR="00EB1BE1" w:rsidRPr="00A04F02">
        <w:rPr>
          <w:color w:val="000000" w:themeColor="text1"/>
          <w:sz w:val="22"/>
          <w:szCs w:val="22"/>
          <w:lang w:val="uk-UA"/>
        </w:rPr>
        <w:t xml:space="preserve">кожного етапу </w:t>
      </w:r>
      <w:r w:rsidRPr="00A04F02">
        <w:rPr>
          <w:color w:val="000000" w:themeColor="text1"/>
          <w:sz w:val="22"/>
          <w:szCs w:val="22"/>
          <w:lang w:val="uk-UA"/>
        </w:rPr>
        <w:t>надання послуг та підпис</w:t>
      </w:r>
      <w:r w:rsidR="00EB1BE1" w:rsidRPr="00A04F02">
        <w:rPr>
          <w:color w:val="000000" w:themeColor="text1"/>
          <w:sz w:val="22"/>
          <w:szCs w:val="22"/>
          <w:lang w:val="uk-UA"/>
        </w:rPr>
        <w:t>ання</w:t>
      </w:r>
      <w:r w:rsidRPr="00A04F02">
        <w:rPr>
          <w:color w:val="000000" w:themeColor="text1"/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EB1BE1" w:rsidRPr="00A04F02">
        <w:rPr>
          <w:color w:val="000000" w:themeColor="text1"/>
          <w:sz w:val="22"/>
          <w:szCs w:val="22"/>
          <w:lang w:val="uk-UA"/>
        </w:rPr>
        <w:t>№3</w:t>
      </w:r>
      <w:r w:rsidR="00047B6B" w:rsidRPr="00A04F02">
        <w:rPr>
          <w:color w:val="000000" w:themeColor="text1"/>
          <w:sz w:val="22"/>
          <w:szCs w:val="22"/>
          <w:lang w:val="uk-UA"/>
        </w:rPr>
        <w:t xml:space="preserve"> </w:t>
      </w:r>
      <w:r w:rsidR="00047B6B" w:rsidRPr="00A04F02">
        <w:rPr>
          <w:i/>
          <w:iCs/>
          <w:color w:val="000000" w:themeColor="text1"/>
          <w:sz w:val="22"/>
          <w:szCs w:val="22"/>
          <w:lang w:val="uk-UA" w:eastAsia="uk-UA"/>
        </w:rPr>
        <w:t>(«Умови оплати»</w:t>
      </w:r>
      <w:r w:rsidR="00047B6B" w:rsidRPr="00A04F02">
        <w:rPr>
          <w:color w:val="000000" w:themeColor="text1"/>
          <w:sz w:val="22"/>
          <w:szCs w:val="22"/>
          <w:lang w:val="uk-UA" w:eastAsia="uk-UA"/>
        </w:rPr>
        <w:t>)</w:t>
      </w:r>
      <w:r w:rsidRPr="00A04F02">
        <w:rPr>
          <w:color w:val="000000" w:themeColor="text1"/>
          <w:sz w:val="22"/>
          <w:szCs w:val="22"/>
          <w:lang w:val="uk-UA"/>
        </w:rPr>
        <w:t xml:space="preserve">. </w:t>
      </w:r>
      <w:r w:rsidRPr="00A04F02">
        <w:rPr>
          <w:rFonts w:eastAsia="Arial Unicode MS"/>
          <w:noProof/>
          <w:color w:val="000000" w:themeColor="text1"/>
          <w:sz w:val="22"/>
          <w:szCs w:val="22"/>
        </w:rPr>
        <w:t xml:space="preserve">Згідно політик ТЧХУ передплата може застосовуватись </w:t>
      </w:r>
      <w:r w:rsidR="00E37D52" w:rsidRPr="00A04F02">
        <w:rPr>
          <w:rFonts w:eastAsia="Arial Unicode MS"/>
          <w:noProof/>
          <w:color w:val="000000" w:themeColor="text1"/>
          <w:sz w:val="22"/>
          <w:szCs w:val="22"/>
          <w:lang w:val="uk-UA"/>
        </w:rPr>
        <w:t>у розмірі</w:t>
      </w:r>
      <w:r w:rsidRPr="00A04F02">
        <w:rPr>
          <w:rFonts w:eastAsia="Arial Unicode MS"/>
          <w:noProof/>
          <w:color w:val="000000" w:themeColor="text1"/>
          <w:sz w:val="22"/>
          <w:szCs w:val="22"/>
        </w:rPr>
        <w:t xml:space="preserve"> не більше 50%.</w:t>
      </w:r>
    </w:p>
    <w:p w14:paraId="50367BDE" w14:textId="42444CBC" w:rsidR="009F2507" w:rsidRPr="00A04F02" w:rsidRDefault="009F2507" w:rsidP="002211CE">
      <w:pPr>
        <w:numPr>
          <w:ilvl w:val="1"/>
          <w:numId w:val="4"/>
        </w:numPr>
        <w:ind w:left="0" w:firstLine="357"/>
        <w:jc w:val="both"/>
        <w:rPr>
          <w:color w:val="000000" w:themeColor="text1"/>
          <w:sz w:val="22"/>
          <w:szCs w:val="22"/>
          <w:lang w:val="uk-UA"/>
        </w:rPr>
      </w:pPr>
      <w:r w:rsidRPr="00A04F02">
        <w:rPr>
          <w:rFonts w:eastAsia="Arial Unicode MS"/>
          <w:color w:val="000000" w:themeColor="text1"/>
          <w:sz w:val="22"/>
          <w:szCs w:val="22"/>
          <w:lang w:val="uk-UA"/>
        </w:rPr>
        <w:t xml:space="preserve"> 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="00126314" w:rsidRPr="00A04F02">
        <w:rPr>
          <w:color w:val="000000" w:themeColor="text1"/>
          <w:sz w:val="22"/>
          <w:szCs w:val="22"/>
          <w:lang w:val="uk-UA" w:eastAsia="uk-UA"/>
        </w:rPr>
        <w:t>пропозиції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="00126314" w:rsidRPr="00A04F02">
        <w:rPr>
          <w:color w:val="000000" w:themeColor="text1"/>
          <w:sz w:val="22"/>
          <w:szCs w:val="22"/>
          <w:lang w:val="uk-UA" w:eastAsia="uk-UA"/>
        </w:rPr>
        <w:t>а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="00126314" w:rsidRPr="00A04F02">
        <w:rPr>
          <w:color w:val="000000" w:themeColor="text1"/>
          <w:sz w:val="22"/>
          <w:szCs w:val="22"/>
          <w:lang w:val="uk-UA" w:eastAsia="uk-UA"/>
        </w:rPr>
        <w:t>го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="00126314" w:rsidRPr="00A04F02">
        <w:rPr>
          <w:color w:val="000000" w:themeColor="text1"/>
          <w:sz w:val="22"/>
          <w:szCs w:val="22"/>
          <w:lang w:val="uk-UA" w:eastAsia="uk-UA"/>
        </w:rPr>
        <w:t>я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="00047B6B" w:rsidRPr="00A04F02">
        <w:rPr>
          <w:color w:val="000000" w:themeColor="text1"/>
          <w:sz w:val="22"/>
          <w:szCs w:val="22"/>
          <w:lang w:val="uk-UA" w:eastAsia="uk-UA"/>
        </w:rPr>
        <w:t>№2</w:t>
      </w:r>
      <w:r w:rsidR="005A5F8A" w:rsidRPr="00A04F02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2211CE">
      <w:pPr>
        <w:numPr>
          <w:ilvl w:val="1"/>
          <w:numId w:val="4"/>
        </w:numPr>
        <w:ind w:left="0" w:firstLine="357"/>
        <w:jc w:val="both"/>
        <w:rPr>
          <w:sz w:val="22"/>
          <w:szCs w:val="22"/>
          <w:lang w:val="uk-UA"/>
        </w:rPr>
      </w:pPr>
      <w:r w:rsidRPr="00A04F02">
        <w:rPr>
          <w:color w:val="000000" w:themeColor="text1"/>
          <w:sz w:val="22"/>
          <w:szCs w:val="22"/>
          <w:lang w:val="uk-UA" w:eastAsia="uk-UA"/>
        </w:rPr>
        <w:t xml:space="preserve"> </w:t>
      </w:r>
      <w:r w:rsidR="00F5724C" w:rsidRPr="00A04F02">
        <w:rPr>
          <w:color w:val="000000" w:themeColor="text1"/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A04F02">
        <w:rPr>
          <w:color w:val="000000" w:themeColor="text1"/>
          <w:sz w:val="22"/>
          <w:szCs w:val="22"/>
          <w:lang w:val="uk-UA"/>
        </w:rPr>
        <w:t>У</w:t>
      </w:r>
      <w:r w:rsidR="00F5724C" w:rsidRPr="00A04F02">
        <w:rPr>
          <w:color w:val="000000" w:themeColor="text1"/>
          <w:sz w:val="22"/>
          <w:szCs w:val="22"/>
          <w:lang w:val="uk-UA"/>
        </w:rPr>
        <w:t xml:space="preserve">часників </w:t>
      </w:r>
      <w:r w:rsidR="00084AA2" w:rsidRPr="00A04F02">
        <w:rPr>
          <w:color w:val="000000" w:themeColor="text1"/>
          <w:sz w:val="22"/>
          <w:szCs w:val="22"/>
          <w:lang w:val="uk-UA"/>
        </w:rPr>
        <w:t xml:space="preserve">процедури </w:t>
      </w:r>
      <w:r w:rsidR="00084AA2" w:rsidRPr="00DE6CDC">
        <w:rPr>
          <w:sz w:val="22"/>
          <w:szCs w:val="22"/>
          <w:lang w:val="uk-UA"/>
        </w:rPr>
        <w:t>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2211CE">
      <w:pPr>
        <w:numPr>
          <w:ilvl w:val="1"/>
          <w:numId w:val="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2211CE">
      <w:pPr>
        <w:numPr>
          <w:ilvl w:val="1"/>
          <w:numId w:val="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2211CE">
      <w:pPr>
        <w:pStyle w:val="af"/>
        <w:numPr>
          <w:ilvl w:val="1"/>
          <w:numId w:val="4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FF4F93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FF4F93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FF4F9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FF4F93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FF4F93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FF4F93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FF4F93" w:rsidRDefault="00E550F7" w:rsidP="002211CE">
      <w:pPr>
        <w:pStyle w:val="aa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F4F9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9FDDE3D" w14:textId="37683460" w:rsidR="00FD3C4D" w:rsidRPr="00FF4F93" w:rsidRDefault="00060960" w:rsidP="002211CE">
      <w:pPr>
        <w:pStyle w:val="aa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Підтвердження виконання умов технічного завдання у формі підписаного Додатку №2</w:t>
      </w:r>
      <w:r w:rsidR="00A5594A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57257989" w:rsidR="00E550F7" w:rsidRPr="00FF4F93" w:rsidRDefault="00B93C90" w:rsidP="002211CE">
      <w:pPr>
        <w:pStyle w:val="aa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D3C4D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FF4F9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FF4F93" w:rsidRDefault="00E550F7" w:rsidP="002211CE">
      <w:pPr>
        <w:pStyle w:val="aa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FF4F9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FF4F9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FF4F93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FF4F93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Pr="00FF4F93" w:rsidRDefault="00E550F7" w:rsidP="002211CE">
      <w:pPr>
        <w:pStyle w:val="aa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F4F93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5B03F1CE" w14:textId="7C36FD90" w:rsidR="007545FF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AD1CB2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AD1CB2">
        <w:rPr>
          <w:sz w:val="22"/>
          <w:szCs w:val="22"/>
          <w:lang w:val="uk-UA"/>
        </w:rPr>
        <w:t>цінової</w:t>
      </w:r>
      <w:r w:rsidR="00B93C90" w:rsidRPr="00A5594A">
        <w:rPr>
          <w:sz w:val="22"/>
          <w:szCs w:val="22"/>
          <w:lang w:val="uk-UA"/>
        </w:rPr>
        <w:t xml:space="preserve"> </w:t>
      </w:r>
      <w:r w:rsidRPr="00A5594A">
        <w:rPr>
          <w:sz w:val="22"/>
          <w:szCs w:val="22"/>
          <w:lang w:val="uk-UA"/>
        </w:rPr>
        <w:t>пропозиції надсилайте на ад</w:t>
      </w:r>
      <w:proofErr w:type="spellStart"/>
      <w:r w:rsidRPr="1327F54A">
        <w:rPr>
          <w:sz w:val="22"/>
          <w:szCs w:val="22"/>
        </w:rPr>
        <w:t>ресу</w:t>
      </w:r>
      <w:proofErr w:type="spell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</w:t>
      </w:r>
      <w:r w:rsidRPr="00B10CE8">
        <w:rPr>
          <w:sz w:val="22"/>
          <w:szCs w:val="22"/>
        </w:rPr>
        <w:t xml:space="preserve">:00 </w:t>
      </w:r>
      <w:r w:rsidR="00AD1CB2" w:rsidRPr="001562A6">
        <w:rPr>
          <w:strike/>
          <w:color w:val="EE0000"/>
          <w:sz w:val="22"/>
          <w:szCs w:val="22"/>
          <w:lang w:val="uk-UA"/>
        </w:rPr>
        <w:t>28</w:t>
      </w:r>
      <w:r w:rsidRPr="001562A6">
        <w:rPr>
          <w:strike/>
          <w:color w:val="EE0000"/>
          <w:sz w:val="22"/>
          <w:szCs w:val="22"/>
        </w:rPr>
        <w:t>.</w:t>
      </w:r>
      <w:r w:rsidR="00AD1CB2" w:rsidRPr="001562A6">
        <w:rPr>
          <w:strike/>
          <w:color w:val="EE0000"/>
          <w:sz w:val="22"/>
          <w:szCs w:val="22"/>
          <w:lang w:val="uk-UA"/>
        </w:rPr>
        <w:t>07</w:t>
      </w:r>
      <w:r w:rsidRPr="001562A6">
        <w:rPr>
          <w:strike/>
          <w:color w:val="EE0000"/>
          <w:sz w:val="22"/>
          <w:szCs w:val="22"/>
        </w:rPr>
        <w:t>.202</w:t>
      </w:r>
      <w:r w:rsidR="00AD1CB2" w:rsidRPr="001562A6">
        <w:rPr>
          <w:strike/>
          <w:color w:val="EE0000"/>
          <w:sz w:val="22"/>
          <w:szCs w:val="22"/>
          <w:lang w:val="uk-UA"/>
        </w:rPr>
        <w:t>5</w:t>
      </w:r>
      <w:r w:rsidRPr="001562A6">
        <w:rPr>
          <w:strike/>
          <w:color w:val="EE0000"/>
          <w:sz w:val="22"/>
          <w:szCs w:val="22"/>
        </w:rPr>
        <w:t xml:space="preserve"> року</w:t>
      </w:r>
      <w:r w:rsidR="001562A6" w:rsidRPr="001562A6">
        <w:rPr>
          <w:color w:val="EE0000"/>
          <w:sz w:val="22"/>
          <w:szCs w:val="22"/>
          <w:lang w:val="uk-UA"/>
        </w:rPr>
        <w:t xml:space="preserve">    </w:t>
      </w:r>
      <w:r w:rsidR="00B10CE8">
        <w:rPr>
          <w:sz w:val="22"/>
          <w:szCs w:val="22"/>
          <w:lang w:val="uk-UA"/>
        </w:rPr>
        <w:t>04</w:t>
      </w:r>
      <w:r w:rsidR="001562A6" w:rsidRPr="00A04F02">
        <w:rPr>
          <w:sz w:val="22"/>
          <w:szCs w:val="22"/>
        </w:rPr>
        <w:t>.</w:t>
      </w:r>
      <w:r w:rsidR="001562A6" w:rsidRPr="00A04F02">
        <w:rPr>
          <w:sz w:val="22"/>
          <w:szCs w:val="22"/>
          <w:lang w:val="uk-UA"/>
        </w:rPr>
        <w:t>0</w:t>
      </w:r>
      <w:r w:rsidR="00B10CE8">
        <w:rPr>
          <w:sz w:val="22"/>
          <w:szCs w:val="22"/>
          <w:lang w:val="uk-UA"/>
        </w:rPr>
        <w:t>8</w:t>
      </w:r>
      <w:r w:rsidR="001562A6" w:rsidRPr="00A04F02">
        <w:rPr>
          <w:sz w:val="22"/>
          <w:szCs w:val="22"/>
        </w:rPr>
        <w:t>.202</w:t>
      </w:r>
      <w:r w:rsidR="001562A6" w:rsidRPr="00A04F02">
        <w:rPr>
          <w:sz w:val="22"/>
          <w:szCs w:val="22"/>
          <w:lang w:val="uk-UA"/>
        </w:rPr>
        <w:t>5</w:t>
      </w:r>
      <w:r w:rsidR="001562A6" w:rsidRPr="00A04F02">
        <w:rPr>
          <w:sz w:val="22"/>
          <w:szCs w:val="22"/>
        </w:rPr>
        <w:t xml:space="preserve"> року</w:t>
      </w:r>
      <w:r w:rsidRPr="00A04F02">
        <w:rPr>
          <w:sz w:val="22"/>
          <w:szCs w:val="22"/>
        </w:rPr>
        <w:t>.</w:t>
      </w:r>
    </w:p>
    <w:p w14:paraId="38E92A5E" w14:textId="77777777" w:rsidR="009F73B7" w:rsidRPr="009F73B7" w:rsidRDefault="009F73B7" w:rsidP="1327F54A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A04F02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A04F02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A04F02">
        <w:rPr>
          <w:b/>
          <w:sz w:val="22"/>
          <w:szCs w:val="22"/>
          <w:lang w:val="uk-UA"/>
        </w:rPr>
        <w:t>ЦІНОВИХ</w:t>
      </w:r>
      <w:r w:rsidRPr="00A04F02">
        <w:rPr>
          <w:b/>
          <w:sz w:val="22"/>
          <w:szCs w:val="22"/>
          <w:lang w:val="uk-UA"/>
        </w:rPr>
        <w:t xml:space="preserve"> ПРОПОЗИЦІЙ</w:t>
      </w:r>
      <w:r w:rsidRPr="00A04F02">
        <w:rPr>
          <w:sz w:val="22"/>
          <w:szCs w:val="22"/>
          <w:lang w:val="uk-UA"/>
        </w:rPr>
        <w:t xml:space="preserve"> від учасників: </w:t>
      </w:r>
    </w:p>
    <w:p w14:paraId="3E886E94" w14:textId="65F734A1" w:rsidR="00AD6D3B" w:rsidRPr="00A04F02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A04F02">
        <w:rPr>
          <w:b/>
          <w:color w:val="FF0000"/>
          <w:sz w:val="22"/>
          <w:szCs w:val="22"/>
          <w:lang w:val="uk-UA"/>
        </w:rPr>
        <w:t xml:space="preserve"> </w:t>
      </w:r>
      <w:r w:rsidRPr="00B10CE8">
        <w:rPr>
          <w:b/>
          <w:strike/>
          <w:color w:val="EE0000"/>
          <w:sz w:val="22"/>
          <w:szCs w:val="22"/>
          <w:lang w:val="uk-UA"/>
        </w:rPr>
        <w:t>«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29</w:t>
      </w:r>
      <w:r w:rsidRPr="00B10CE8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липня</w:t>
      </w:r>
      <w:r w:rsidRPr="00B10CE8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5</w:t>
      </w:r>
      <w:r w:rsidRPr="00B10CE8">
        <w:rPr>
          <w:b/>
          <w:strike/>
          <w:color w:val="EE0000"/>
          <w:sz w:val="22"/>
          <w:szCs w:val="22"/>
          <w:lang w:val="uk-UA"/>
        </w:rPr>
        <w:t xml:space="preserve"> рок</w:t>
      </w:r>
      <w:r w:rsidR="00570092" w:rsidRPr="00B10CE8">
        <w:rPr>
          <w:b/>
          <w:strike/>
          <w:color w:val="EE0000"/>
          <w:sz w:val="22"/>
          <w:szCs w:val="22"/>
          <w:lang w:val="uk-UA"/>
        </w:rPr>
        <w:t>у</w:t>
      </w:r>
      <w:r w:rsidR="00B10CE8" w:rsidRPr="00B10CE8">
        <w:rPr>
          <w:b/>
          <w:color w:val="EE0000"/>
          <w:sz w:val="22"/>
          <w:szCs w:val="22"/>
          <w:lang w:val="uk-UA"/>
        </w:rPr>
        <w:t xml:space="preserve">    </w:t>
      </w:r>
      <w:r w:rsidR="00B10CE8" w:rsidRPr="00B10CE8">
        <w:rPr>
          <w:b/>
          <w:color w:val="EE0000"/>
          <w:sz w:val="22"/>
          <w:szCs w:val="22"/>
          <w:lang w:val="uk-UA"/>
        </w:rPr>
        <w:t xml:space="preserve"> </w:t>
      </w:r>
      <w:r w:rsidR="00B10CE8" w:rsidRPr="00A04F02">
        <w:rPr>
          <w:b/>
          <w:sz w:val="22"/>
          <w:szCs w:val="22"/>
          <w:lang w:val="uk-UA"/>
        </w:rPr>
        <w:t>«</w:t>
      </w:r>
      <w:r w:rsidR="00B10CE8">
        <w:rPr>
          <w:b/>
          <w:sz w:val="22"/>
          <w:szCs w:val="22"/>
          <w:lang w:val="uk-UA"/>
        </w:rPr>
        <w:t>05</w:t>
      </w:r>
      <w:r w:rsidR="00B10CE8" w:rsidRPr="00A04F02">
        <w:rPr>
          <w:b/>
          <w:sz w:val="22"/>
          <w:szCs w:val="22"/>
          <w:lang w:val="uk-UA"/>
        </w:rPr>
        <w:t xml:space="preserve">» </w:t>
      </w:r>
      <w:r w:rsidR="00B10CE8">
        <w:rPr>
          <w:b/>
          <w:sz w:val="22"/>
          <w:szCs w:val="22"/>
          <w:lang w:val="uk-UA"/>
        </w:rPr>
        <w:t>серпня</w:t>
      </w:r>
      <w:r w:rsidR="00B10CE8" w:rsidRPr="00A04F02">
        <w:rPr>
          <w:b/>
          <w:sz w:val="22"/>
          <w:szCs w:val="22"/>
          <w:lang w:val="uk-UA"/>
        </w:rPr>
        <w:t xml:space="preserve"> 2025 року</w:t>
      </w:r>
      <w:r w:rsidRPr="00A04F02">
        <w:rPr>
          <w:b/>
          <w:sz w:val="22"/>
          <w:szCs w:val="22"/>
          <w:lang w:val="uk-UA"/>
        </w:rPr>
        <w:t>.</w:t>
      </w:r>
    </w:p>
    <w:p w14:paraId="13070A45" w14:textId="77777777" w:rsidR="00AD6D3B" w:rsidRPr="00A04F0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A04F02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A04F02">
        <w:rPr>
          <w:b/>
          <w:sz w:val="22"/>
          <w:szCs w:val="22"/>
          <w:u w:val="single"/>
          <w:lang w:val="uk-UA"/>
        </w:rPr>
        <w:t>ЦІНОВІ</w:t>
      </w:r>
      <w:r w:rsidR="00E27AFC" w:rsidRPr="00A04F02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A04F02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A04F02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A04F02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A04F02" w:rsidRDefault="00E27AFC" w:rsidP="00E27AFC">
      <w:pPr>
        <w:ind w:firstLine="357"/>
        <w:jc w:val="both"/>
        <w:rPr>
          <w:sz w:val="22"/>
          <w:szCs w:val="22"/>
        </w:rPr>
      </w:pPr>
      <w:r w:rsidRPr="00A04F02">
        <w:rPr>
          <w:b/>
          <w:bCs/>
          <w:iCs/>
          <w:sz w:val="22"/>
          <w:szCs w:val="22"/>
        </w:rPr>
        <w:t xml:space="preserve">РОЗКРИТТЯ </w:t>
      </w:r>
      <w:r w:rsidR="00345379" w:rsidRPr="00A04F02">
        <w:rPr>
          <w:b/>
          <w:bCs/>
          <w:iCs/>
          <w:sz w:val="22"/>
          <w:szCs w:val="22"/>
          <w:lang w:val="uk-UA"/>
        </w:rPr>
        <w:t>ЦІНОВ</w:t>
      </w:r>
      <w:r w:rsidR="00D53B41" w:rsidRPr="00A04F02">
        <w:rPr>
          <w:b/>
          <w:bCs/>
          <w:iCs/>
          <w:sz w:val="22"/>
          <w:szCs w:val="22"/>
          <w:lang w:val="uk-UA"/>
        </w:rPr>
        <w:t>ИХ</w:t>
      </w:r>
      <w:r w:rsidRPr="00A04F02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A04F02">
        <w:rPr>
          <w:sz w:val="22"/>
          <w:szCs w:val="22"/>
        </w:rPr>
        <w:t>:</w:t>
      </w:r>
    </w:p>
    <w:p w14:paraId="6AE3C48E" w14:textId="1E37F4ED" w:rsidR="00E27AFC" w:rsidRPr="00AD1CB2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B10CE8">
        <w:rPr>
          <w:strike/>
          <w:color w:val="EE0000"/>
          <w:sz w:val="22"/>
          <w:szCs w:val="22"/>
        </w:rPr>
        <w:t xml:space="preserve"> </w:t>
      </w:r>
      <w:r w:rsidRPr="00B10CE8">
        <w:rPr>
          <w:b/>
          <w:strike/>
          <w:color w:val="EE0000"/>
          <w:sz w:val="22"/>
          <w:szCs w:val="22"/>
        </w:rPr>
        <w:t>«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30</w:t>
      </w:r>
      <w:r w:rsidRPr="00B10CE8">
        <w:rPr>
          <w:b/>
          <w:strike/>
          <w:color w:val="EE0000"/>
          <w:sz w:val="22"/>
          <w:szCs w:val="22"/>
        </w:rPr>
        <w:t xml:space="preserve">» 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липня</w:t>
      </w:r>
      <w:r w:rsidRPr="00B10CE8">
        <w:rPr>
          <w:b/>
          <w:strike/>
          <w:color w:val="EE0000"/>
          <w:sz w:val="22"/>
          <w:szCs w:val="22"/>
        </w:rPr>
        <w:t xml:space="preserve"> 202</w:t>
      </w:r>
      <w:r w:rsidR="00AD1CB2" w:rsidRPr="00B10CE8">
        <w:rPr>
          <w:b/>
          <w:strike/>
          <w:color w:val="EE0000"/>
          <w:sz w:val="22"/>
          <w:szCs w:val="22"/>
          <w:lang w:val="uk-UA"/>
        </w:rPr>
        <w:t>5</w:t>
      </w:r>
      <w:r w:rsidRPr="00B10CE8">
        <w:rPr>
          <w:b/>
          <w:strike/>
          <w:color w:val="EE0000"/>
          <w:sz w:val="22"/>
          <w:szCs w:val="22"/>
        </w:rPr>
        <w:t xml:space="preserve"> року</w:t>
      </w:r>
      <w:r w:rsidRPr="00A04F02">
        <w:rPr>
          <w:sz w:val="22"/>
          <w:szCs w:val="22"/>
        </w:rPr>
        <w:t xml:space="preserve"> </w:t>
      </w:r>
      <w:r w:rsidR="00B10CE8">
        <w:rPr>
          <w:sz w:val="22"/>
          <w:szCs w:val="22"/>
          <w:lang w:val="uk-UA"/>
        </w:rPr>
        <w:t xml:space="preserve">  </w:t>
      </w:r>
      <w:r w:rsidR="00B10CE8" w:rsidRPr="00A04F02">
        <w:rPr>
          <w:b/>
          <w:sz w:val="22"/>
          <w:szCs w:val="22"/>
        </w:rPr>
        <w:t>«</w:t>
      </w:r>
      <w:r w:rsidR="00B10CE8">
        <w:rPr>
          <w:b/>
          <w:sz w:val="22"/>
          <w:szCs w:val="22"/>
          <w:lang w:val="uk-UA"/>
        </w:rPr>
        <w:t>06</w:t>
      </w:r>
      <w:r w:rsidR="00B10CE8" w:rsidRPr="00A04F02">
        <w:rPr>
          <w:b/>
          <w:sz w:val="22"/>
          <w:szCs w:val="22"/>
        </w:rPr>
        <w:t xml:space="preserve">» </w:t>
      </w:r>
      <w:r w:rsidR="00B10CE8">
        <w:rPr>
          <w:b/>
          <w:sz w:val="22"/>
          <w:szCs w:val="22"/>
          <w:lang w:val="uk-UA"/>
        </w:rPr>
        <w:t>серпня</w:t>
      </w:r>
      <w:r w:rsidR="00B10CE8" w:rsidRPr="00A04F02">
        <w:rPr>
          <w:b/>
          <w:sz w:val="22"/>
          <w:szCs w:val="22"/>
        </w:rPr>
        <w:t xml:space="preserve"> 202</w:t>
      </w:r>
      <w:r w:rsidR="00B10CE8" w:rsidRPr="00A04F02">
        <w:rPr>
          <w:b/>
          <w:sz w:val="22"/>
          <w:szCs w:val="22"/>
          <w:lang w:val="uk-UA"/>
        </w:rPr>
        <w:t>5</w:t>
      </w:r>
      <w:r w:rsidR="00B10CE8" w:rsidRPr="00A04F02">
        <w:rPr>
          <w:b/>
          <w:sz w:val="22"/>
          <w:szCs w:val="22"/>
        </w:rPr>
        <w:t xml:space="preserve"> року</w:t>
      </w:r>
      <w:r w:rsidRPr="00A04F02">
        <w:rPr>
          <w:sz w:val="22"/>
          <w:szCs w:val="22"/>
        </w:rPr>
        <w:t xml:space="preserve"> об 11 </w:t>
      </w:r>
      <w:r w:rsidRPr="00A04F02">
        <w:rPr>
          <w:sz w:val="22"/>
          <w:szCs w:val="22"/>
          <w:lang w:val="uk-UA"/>
        </w:rPr>
        <w:t>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AD1CB2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AD1CB2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AD1CB2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AD1CB2">
          <w:rPr>
            <w:rStyle w:val="ab"/>
            <w:sz w:val="22"/>
            <w:szCs w:val="22"/>
            <w:lang w:val="uk-UA"/>
          </w:rPr>
          <w:t>tender@redcross.org.ua</w:t>
        </w:r>
      </w:hyperlink>
      <w:r w:rsidRPr="00AD1CB2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AD1CB2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AD1CB2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AD1CB2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AD1CB2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AD1CB2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AD1CB2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AD1CB2">
        <w:rPr>
          <w:b/>
          <w:sz w:val="22"/>
          <w:szCs w:val="22"/>
          <w:lang w:val="uk-UA"/>
        </w:rPr>
        <w:t>цінової</w:t>
      </w:r>
      <w:r w:rsidRPr="00AD1CB2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AD1CB2" w:rsidRDefault="00E27AFC" w:rsidP="002211CE">
      <w:pPr>
        <w:widowControl w:val="0"/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1CB2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AD1CB2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AD1CB2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1CB2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2211CE">
      <w:pPr>
        <w:widowControl w:val="0"/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1CB2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1CB2">
        <w:rPr>
          <w:noProof/>
          <w:sz w:val="22"/>
          <w:szCs w:val="22"/>
          <w:lang w:val="uk-UA"/>
        </w:rPr>
        <w:t>Цінова</w:t>
      </w:r>
      <w:r w:rsidRPr="00AD1CB2">
        <w:rPr>
          <w:noProof/>
          <w:sz w:val="22"/>
          <w:szCs w:val="22"/>
          <w:lang w:val="uk-UA"/>
        </w:rPr>
        <w:t xml:space="preserve"> пропозиція</w:t>
      </w:r>
      <w:r w:rsidRPr="00AD7DCC">
        <w:rPr>
          <w:noProof/>
          <w:sz w:val="22"/>
          <w:szCs w:val="22"/>
          <w:lang w:val="uk-UA"/>
        </w:rPr>
        <w:t xml:space="preserve">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2211CE">
      <w:pPr>
        <w:widowControl w:val="0"/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2211CE">
      <w:pPr>
        <w:widowControl w:val="0"/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0A9AC685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1CB2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AD1CB2" w:rsidRPr="00AD1CB2">
        <w:rPr>
          <w:b/>
          <w:bCs/>
          <w:color w:val="000000" w:themeColor="text1"/>
          <w:sz w:val="22"/>
          <w:szCs w:val="22"/>
          <w:lang w:val="uk-UA"/>
        </w:rPr>
        <w:t>2081ОК</w:t>
      </w:r>
      <w:r w:rsidRPr="00AD1CB2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D1CB2" w:rsidRPr="00AD1CB2">
        <w:rPr>
          <w:b/>
          <w:noProof/>
          <w:color w:val="000000" w:themeColor="text1"/>
          <w:sz w:val="22"/>
          <w:szCs w:val="22"/>
          <w:lang w:val="uk-UA"/>
        </w:rPr>
        <w:t>Консалтингові послуги</w:t>
      </w:r>
      <w:r w:rsidRPr="00AD1CB2">
        <w:rPr>
          <w:b/>
          <w:bCs/>
          <w:noProof/>
          <w:color w:val="000000" w:themeColor="text1"/>
          <w:lang w:val="uk-UA"/>
        </w:rPr>
        <w:t>.</w:t>
      </w:r>
      <w:r w:rsidRPr="00AD1CB2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  </w:t>
      </w:r>
    </w:p>
    <w:p w14:paraId="4D233AB5" w14:textId="4C214194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AD1CB2">
        <w:rPr>
          <w:b/>
          <w:noProof/>
          <w:sz w:val="22"/>
          <w:szCs w:val="22"/>
          <w:lang w:val="uk-UA"/>
        </w:rPr>
        <w:t>«</w:t>
      </w:r>
      <w:r w:rsidR="00AD1CB2" w:rsidRPr="00AD1CB2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AD1CB2" w:rsidRPr="00AD1CB2">
        <w:rPr>
          <w:b/>
          <w:bCs/>
          <w:color w:val="000000" w:themeColor="text1"/>
          <w:sz w:val="22"/>
          <w:szCs w:val="22"/>
          <w:lang w:val="uk-UA"/>
        </w:rPr>
        <w:t>2081ОК</w:t>
      </w:r>
      <w:r w:rsidR="00AD1CB2" w:rsidRPr="00AD1CB2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. </w:t>
      </w:r>
      <w:r w:rsidR="00AD1CB2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AD1CB2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D1CB2" w:rsidRPr="00AD1CB2">
        <w:rPr>
          <w:b/>
          <w:noProof/>
          <w:color w:val="000000" w:themeColor="text1"/>
          <w:sz w:val="22"/>
          <w:szCs w:val="22"/>
          <w:lang w:val="uk-UA"/>
        </w:rPr>
        <w:t>Консалтингові послуги</w:t>
      </w:r>
      <w:r w:rsidR="00AD1CB2" w:rsidRPr="00AD1CB2">
        <w:rPr>
          <w:b/>
          <w:bCs/>
          <w:noProof/>
          <w:color w:val="000000" w:themeColor="text1"/>
          <w:lang w:val="uk-UA"/>
        </w:rPr>
        <w:t>.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2211CE">
      <w:pPr>
        <w:numPr>
          <w:ilvl w:val="1"/>
          <w:numId w:val="8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2211CE">
      <w:pPr>
        <w:numPr>
          <w:ilvl w:val="0"/>
          <w:numId w:val="5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2211CE">
      <w:pPr>
        <w:numPr>
          <w:ilvl w:val="0"/>
          <w:numId w:val="5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2211CE">
      <w:pPr>
        <w:numPr>
          <w:ilvl w:val="0"/>
          <w:numId w:val="5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2211CE">
      <w:pPr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2211CE">
      <w:pPr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2211CE">
      <w:pPr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2211CE">
      <w:pPr>
        <w:pStyle w:val="af"/>
        <w:numPr>
          <w:ilvl w:val="0"/>
          <w:numId w:val="6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2211CE">
      <w:pPr>
        <w:pStyle w:val="af"/>
        <w:numPr>
          <w:ilvl w:val="0"/>
          <w:numId w:val="6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19CF848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1A313B7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950"/>
        <w:gridCol w:w="157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7043DE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5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4836C44E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B9527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37547F" w:rsidRPr="004805DD" w14:paraId="0B5D70A3" w14:textId="77777777" w:rsidTr="00BC3CF2">
        <w:trPr>
          <w:trHeight w:val="704"/>
        </w:trPr>
        <w:tc>
          <w:tcPr>
            <w:tcW w:w="709" w:type="dxa"/>
            <w:vAlign w:val="center"/>
          </w:tcPr>
          <w:p w14:paraId="3D468E5F" w14:textId="77777777" w:rsidR="0037547F" w:rsidRPr="004D12AF" w:rsidRDefault="0037547F" w:rsidP="0037547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3DBACBB4" w14:textId="7B21CADD" w:rsidR="0037547F" w:rsidRPr="00BC3CF2" w:rsidRDefault="00711EA4" w:rsidP="0037547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Наявність </w:t>
            </w:r>
            <w:r w:rsidR="00C3357C"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релевантного </w:t>
            </w:r>
            <w:r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досвіду</w:t>
            </w:r>
            <w:r w:rsidR="00C3357C"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.</w:t>
            </w:r>
          </w:p>
          <w:p w14:paraId="2A56FDA4" w14:textId="579D8FF4" w:rsidR="00C3357C" w:rsidRPr="00BC3CF2" w:rsidRDefault="005F1645" w:rsidP="003C5FE4">
            <w:pPr>
              <w:pStyle w:val="aa"/>
              <w:spacing w:before="0" w:before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Оцінюється шляхом надання копій договорів на аналогічні послуги, або листів відгуків чи 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рекомендацій ї із зазначенням предмета закупівлі та контактними даними замовників, посилання на відкриті джерела.</w:t>
            </w:r>
          </w:p>
          <w:p w14:paraId="37FFE0BE" w14:textId="77777777" w:rsidR="009B786C" w:rsidRPr="00BC3CF2" w:rsidRDefault="009B786C" w:rsidP="0037547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56D0AC80" w14:textId="5453FA8D" w:rsidR="009B786C" w:rsidRPr="00BC3CF2" w:rsidRDefault="009B786C" w:rsidP="00443F6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50" w:type="dxa"/>
            <w:vAlign w:val="center"/>
          </w:tcPr>
          <w:p w14:paraId="702FC42B" w14:textId="23CF5656" w:rsidR="003F7352" w:rsidRPr="00BC3CF2" w:rsidRDefault="003F7352" w:rsidP="00F426D4">
            <w:pPr>
              <w:pStyle w:val="aa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 w:after="0" w:afterAutospacing="0"/>
              <w:ind w:left="0" w:firstLine="63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Підтверджений досвід проведення </w:t>
            </w:r>
            <w:r w:rsidR="007F7B82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3 </w:t>
            </w:r>
            <w:r w:rsidR="002D4791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 більше </w:t>
            </w:r>
            <w:r w:rsidR="007F7B82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аналогічних </w:t>
            </w:r>
            <w:proofErr w:type="spellStart"/>
            <w:r w:rsidR="007F7B82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</w:t>
            </w:r>
            <w:r w:rsidR="007C5BE1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єктів</w:t>
            </w:r>
            <w:proofErr w:type="spellEnd"/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9C6697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207E37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 </w:t>
            </w:r>
            <w:r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20 %</w:t>
            </w:r>
          </w:p>
          <w:p w14:paraId="12F8DD76" w14:textId="1DF731DE" w:rsidR="007C5BE1" w:rsidRPr="00BC3CF2" w:rsidRDefault="007C5BE1" w:rsidP="00F426D4">
            <w:pPr>
              <w:pStyle w:val="aa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 w:after="0" w:afterAutospacing="0"/>
              <w:ind w:left="0" w:firstLine="63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Підтверджений досвід проведення </w:t>
            </w:r>
            <w:r w:rsidR="002D4791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менше 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3</w:t>
            </w:r>
            <w:r w:rsidR="002D4791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-х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аналогічних </w:t>
            </w:r>
            <w:proofErr w:type="spellStart"/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проєктів</w:t>
            </w:r>
            <w:proofErr w:type="spellEnd"/>
            <w:r w:rsidR="009C6697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207E37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-  </w:t>
            </w:r>
            <w:r w:rsidR="007043DE"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</w:t>
            </w:r>
            <w:r w:rsidRPr="00BC3CF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  <w:p w14:paraId="0B162224" w14:textId="2F40E50C" w:rsidR="0037547F" w:rsidRPr="00BC3CF2" w:rsidRDefault="003F7352" w:rsidP="00F426D4">
            <w:pPr>
              <w:pStyle w:val="aa"/>
              <w:numPr>
                <w:ilvl w:val="0"/>
                <w:numId w:val="24"/>
              </w:numPr>
              <w:tabs>
                <w:tab w:val="left" w:pos="0"/>
              </w:tabs>
              <w:spacing w:before="0" w:beforeAutospacing="0" w:after="0" w:afterAutospacing="0"/>
              <w:ind w:left="0" w:firstLine="6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Відсутнє підтвердження </w:t>
            </w:r>
            <w:r w:rsidR="007043DE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релевантного 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досвіду</w:t>
            </w:r>
            <w:r w:rsidR="009C6697"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BC3CF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BC3CF2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  <w:t>– 0%</w:t>
            </w:r>
          </w:p>
        </w:tc>
        <w:tc>
          <w:tcPr>
            <w:tcW w:w="1578" w:type="dxa"/>
            <w:vAlign w:val="center"/>
          </w:tcPr>
          <w:p w14:paraId="6B287D57" w14:textId="631E6193" w:rsidR="0037547F" w:rsidRPr="007043DE" w:rsidRDefault="00B9527B" w:rsidP="0037547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043D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</w:t>
            </w:r>
            <w:r w:rsidR="0037547F" w:rsidRPr="007043D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0 %</w:t>
            </w:r>
          </w:p>
        </w:tc>
      </w:tr>
      <w:tr w:rsidR="00B36636" w:rsidRPr="004805DD" w14:paraId="044061FB" w14:textId="77777777" w:rsidTr="007043DE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7605EC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ої </w:t>
      </w:r>
      <w:r w:rsidRPr="007605EC">
        <w:rPr>
          <w:spacing w:val="-4"/>
          <w:sz w:val="22"/>
          <w:szCs w:val="22"/>
          <w:lang w:val="uk-UA"/>
        </w:rPr>
        <w:t>пропозиції яких ще не минув.</w:t>
      </w:r>
    </w:p>
    <w:p w14:paraId="71CF867F" w14:textId="77777777" w:rsidR="00875E2E" w:rsidRPr="007605EC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7605EC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66FE669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7605EC">
        <w:rPr>
          <w:i/>
          <w:sz w:val="22"/>
          <w:szCs w:val="22"/>
          <w:lang w:val="uk-UA"/>
        </w:rPr>
        <w:t>Голова тендерного комітету</w:t>
      </w:r>
      <w:r w:rsidRPr="007605EC">
        <w:rPr>
          <w:i/>
          <w:sz w:val="22"/>
          <w:szCs w:val="22"/>
          <w:lang w:val="uk-UA"/>
        </w:rPr>
        <w:tab/>
      </w:r>
      <w:r w:rsidRPr="007605EC">
        <w:rPr>
          <w:i/>
          <w:sz w:val="22"/>
          <w:szCs w:val="22"/>
          <w:lang w:val="uk-UA"/>
        </w:rPr>
        <w:tab/>
      </w:r>
      <w:r w:rsidR="009E6AC7" w:rsidRPr="007605EC">
        <w:rPr>
          <w:i/>
          <w:sz w:val="22"/>
          <w:szCs w:val="22"/>
          <w:lang w:val="uk-UA"/>
        </w:rPr>
        <w:t xml:space="preserve">                         </w:t>
      </w:r>
      <w:r w:rsidRPr="007605EC">
        <w:rPr>
          <w:i/>
          <w:sz w:val="22"/>
          <w:szCs w:val="22"/>
          <w:lang w:val="uk-UA"/>
        </w:rPr>
        <w:tab/>
      </w:r>
      <w:r w:rsidR="00CC7D16" w:rsidRPr="007605EC">
        <w:rPr>
          <w:i/>
          <w:sz w:val="22"/>
          <w:szCs w:val="22"/>
          <w:lang w:val="uk-UA"/>
        </w:rPr>
        <w:t xml:space="preserve">____________ </w:t>
      </w:r>
      <w:r w:rsidR="00C51B40" w:rsidRPr="007605EC">
        <w:rPr>
          <w:i/>
          <w:sz w:val="22"/>
          <w:szCs w:val="22"/>
          <w:lang w:val="uk-UA"/>
        </w:rPr>
        <w:t xml:space="preserve">                   Р.І. Ошовська</w:t>
      </w:r>
    </w:p>
    <w:p w14:paraId="56D9F594" w14:textId="77777777" w:rsidR="00AB108D" w:rsidRDefault="00C33DF7" w:rsidP="00AB108D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7B506906" w:rsidR="000B129C" w:rsidRPr="00557A29" w:rsidRDefault="000B129C" w:rsidP="00AB108D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bookmarkEnd w:id="1"/>
      <w:r w:rsidR="00AB108D">
        <w:rPr>
          <w:sz w:val="22"/>
          <w:szCs w:val="22"/>
          <w:lang w:val="uk-UA"/>
        </w:rPr>
        <w:t>Запиту 2081ОК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F8278A4" w14:textId="77777777" w:rsidR="00AB108D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1E34A518" w14:textId="75D6E175" w:rsidR="00EA67E2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AB108D">
        <w:rPr>
          <w:b/>
          <w:bCs/>
          <w:color w:val="000000"/>
          <w:sz w:val="22"/>
          <w:szCs w:val="22"/>
          <w:lang w:val="uk-UA" w:eastAsia="uk-UA"/>
        </w:rPr>
        <w:t xml:space="preserve"> 2081ОК</w:t>
      </w:r>
    </w:p>
    <w:p w14:paraId="14EEB494" w14:textId="77777777" w:rsidR="00AB108D" w:rsidRDefault="00AB108D" w:rsidP="00AB108D">
      <w:pPr>
        <w:ind w:left="142" w:firstLine="284"/>
        <w:jc w:val="both"/>
        <w:rPr>
          <w:sz w:val="22"/>
          <w:szCs w:val="22"/>
          <w:lang w:val="uk-UA"/>
        </w:rPr>
      </w:pPr>
    </w:p>
    <w:p w14:paraId="3DB64C17" w14:textId="787DCA53" w:rsidR="00CF53B0" w:rsidRPr="00F62CFB" w:rsidRDefault="00CF53B0" w:rsidP="00CF53B0">
      <w:pPr>
        <w:pStyle w:val="4"/>
        <w:spacing w:before="31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</w:rPr>
      </w:pPr>
      <w:r w:rsidRPr="00F62CFB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</w:rPr>
        <w:t>ТЕХНІЧНЕ ЗАВДАННЯ</w:t>
      </w:r>
    </w:p>
    <w:p w14:paraId="1591E6EC" w14:textId="77777777" w:rsidR="00CF53B0" w:rsidRPr="00CF53B0" w:rsidRDefault="00CF53B0" w:rsidP="00CF53B0">
      <w:pPr>
        <w:pStyle w:val="4"/>
        <w:spacing w:before="31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lang w:val="uk-UA"/>
        </w:rPr>
      </w:pPr>
      <w:r w:rsidRPr="00CF53B0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lang w:val="uk-UA"/>
        </w:rPr>
        <w:t>Розроблення методології оперативної оцінки потреб населення та доцільності надання грошової або ваучерної допомоги</w:t>
      </w:r>
    </w:p>
    <w:p w14:paraId="40928121" w14:textId="41E9424C" w:rsidR="00CF53B0" w:rsidRPr="00CF53B0" w:rsidRDefault="00CF53B0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</w:t>
      </w:r>
      <w:r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1. Загальна інформація</w:t>
      </w:r>
    </w:p>
    <w:p w14:paraId="4F70B03F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Товариство Червоного Хреста України (ТЧХУ) оголошує тендер на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контрактування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профільної організації або експертної групи для розробки методології оперативної оцінки доцільності використання грошової або ваучерної допомоги (ГВД) у відповідь на гуманітарні кризи в Україні.</w:t>
      </w:r>
    </w:p>
    <w:p w14:paraId="312631E3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 умовах триваючої гуманітарної надзвичайної ситуації внаслідок збройного конфлікту, ТЧХУ прагне підвищити ефективність та адаптивність своїх програм підтримки постраждалого населення. Грошова та ваучерна допомога є однією з ключових форм реагування, що дозволяє людям самостійно обирати товари та послуги відповідно до власних потреб.</w:t>
      </w:r>
    </w:p>
    <w:p w14:paraId="21549281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Однак прийняття рішень щодо застосування ГВД потребує швидкої, надійної та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контекстно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чутливої оцінки. Саме тому ТЧХУ ініціює розробку комплексної методології, яка допоможе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оперативно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визначати доцільність впровадження ГВД у різних регіонах країни з урахуванням ринкової ситуації, доступу, безпеки, фінансової інклюзії та регуляторних вимог.</w:t>
      </w:r>
    </w:p>
    <w:p w14:paraId="44852BD1" w14:textId="77777777" w:rsidR="00CF53B0" w:rsidRPr="005E3F2F" w:rsidRDefault="00CF53B0" w:rsidP="00CF53B0">
      <w:pPr>
        <w:spacing w:after="240"/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Результати цієї роботи сприятимуть підвищенню якості програм реагування, узгодженості між партнерами та ефективному використанню ресурсів у кризових ситуаціях.</w:t>
      </w:r>
    </w:p>
    <w:p w14:paraId="54D53166" w14:textId="02DBBB42" w:rsidR="00CF53B0" w:rsidRPr="00D05DF2" w:rsidRDefault="00CF53B0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 </w:t>
      </w:r>
      <w:r w:rsidRPr="00D05DF2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2. Мета</w:t>
      </w:r>
    </w:p>
    <w:p w14:paraId="11D4E867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Метою цієї консультаційної послуги є розробка практичної,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контекстно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адаптованої методології для оперативної оцінки потреб населення та доцільності застосування грошової або ваучерної допомоги у гуманітарних умовах України. Методологія має забезпечити Товариству Червоного Хреста України інструменти для швидкого, доказового та системного прийняття рішень щодо впровадження ГВД на національному та регіональному рівнях.</w:t>
      </w:r>
    </w:p>
    <w:p w14:paraId="2FE482CC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Окрему увагу необхідно приділити можливості застосування методології у кризових та надзвичайних ситуаціях, включаючи швидку оцінку потреб та доцільності ГВД у перші дні після катастроф природного, техногенного чи воєнного характеру. Це дозволить забезпечити гнучке реагування в умовах обмеженого доступу до даних або територій.</w:t>
      </w:r>
    </w:p>
    <w:p w14:paraId="6C7A9B9B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Робота також має на меті підвищення спроможності організації у сфері оцінювання гуманітарних потреб, інтеграції ринкових та правових факторів у програмне планування, а також уніфікацію підходів до збору та аналізу даних в умовах надзвичайних ситуацій.</w:t>
      </w:r>
    </w:p>
    <w:p w14:paraId="36B07ECC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Розроблена методологія сприятиме:</w:t>
      </w:r>
    </w:p>
    <w:p w14:paraId="2BFD2AC2" w14:textId="77777777" w:rsidR="00CF53B0" w:rsidRPr="005E3F2F" w:rsidRDefault="00CF53B0" w:rsidP="002211CE">
      <w:pPr>
        <w:pStyle w:val="af"/>
        <w:numPr>
          <w:ilvl w:val="0"/>
          <w:numId w:val="18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покращенню стратегічного планування інтервенцій;</w:t>
      </w:r>
    </w:p>
    <w:p w14:paraId="2A5E155E" w14:textId="77777777" w:rsidR="00CF53B0" w:rsidRPr="005E3F2F" w:rsidRDefault="00CF53B0" w:rsidP="002211CE">
      <w:pPr>
        <w:pStyle w:val="af"/>
        <w:numPr>
          <w:ilvl w:val="0"/>
          <w:numId w:val="18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розбудові внутрішнього технічного потенціалу ТЧХУ;</w:t>
      </w:r>
    </w:p>
    <w:p w14:paraId="76667629" w14:textId="77777777" w:rsidR="00CF53B0" w:rsidRPr="005E3F2F" w:rsidRDefault="00CF53B0" w:rsidP="002211CE">
      <w:pPr>
        <w:pStyle w:val="af"/>
        <w:numPr>
          <w:ilvl w:val="0"/>
          <w:numId w:val="18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гармонізації підходів із партнерами в рамках кластерної системи та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міжорганізаційної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координації;</w:t>
      </w:r>
    </w:p>
    <w:p w14:paraId="53CFF9E1" w14:textId="77777777" w:rsidR="00CF53B0" w:rsidRPr="005E3F2F" w:rsidRDefault="00CF53B0" w:rsidP="002211CE">
      <w:pPr>
        <w:pStyle w:val="af"/>
        <w:numPr>
          <w:ilvl w:val="0"/>
          <w:numId w:val="18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запровадженню єдиних стандартів для оцінювання доцільності ГВД у різних сценаріях реагування.</w:t>
      </w:r>
    </w:p>
    <w:p w14:paraId="6CB217A9" w14:textId="77777777" w:rsidR="00CF53B0" w:rsidRPr="005E3F2F" w:rsidRDefault="00CF53B0" w:rsidP="00CF53B0">
      <w:pPr>
        <w:spacing w:after="240"/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Таким чином, ця ініціатива є важливим кроком до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інституціоналізації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підходів до ГВД в межах гуманітарної діяльності ТЧХУ, а також посилення доказового підходу у прийнятті програмних рішень.</w:t>
      </w:r>
    </w:p>
    <w:p w14:paraId="2E371074" w14:textId="69DA04C6" w:rsidR="00CF53B0" w:rsidRPr="00CF53B0" w:rsidRDefault="00887316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</w:t>
      </w:r>
      <w:r w:rsidR="00CF53B0"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3. Завдання постачальника</w:t>
      </w:r>
    </w:p>
    <w:p w14:paraId="117EFBB9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Постачальник послуг несе відповідальність за повну розробку, тестування та підготовку до практичного впровадження методології оперативної оцінки потреб населення та доцільності використання ГВД у гуманітарному контексті України. Його завдання включатимуть наступні компоненти:</w:t>
      </w:r>
    </w:p>
    <w:p w14:paraId="4F8BA9EB" w14:textId="77777777" w:rsidR="00CF53B0" w:rsidRPr="005E3F2F" w:rsidRDefault="00CF53B0" w:rsidP="00CF53B0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</w:pPr>
      <w:r w:rsidRPr="005E3F2F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  <w:lastRenderedPageBreak/>
        <w:t>3.1. Розробка інструментів для оперативної оцінки гуманітарних потреб у разі катастроф природного або техногенного характеру</w:t>
      </w:r>
    </w:p>
    <w:p w14:paraId="3C0281AD" w14:textId="77777777" w:rsidR="00CF53B0" w:rsidRPr="005E3F2F" w:rsidRDefault="00CF53B0" w:rsidP="00CF53B0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2"/>
          <w:szCs w:val="22"/>
          <w:lang w:val="uk-UA"/>
        </w:rPr>
      </w:pPr>
      <w:r w:rsidRPr="005E3F2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2"/>
          <w:szCs w:val="22"/>
          <w:lang w:val="uk-UA"/>
        </w:rPr>
        <w:t>Постачальник має розробити окремий набір інструментів і підходів, які можуть бути застосовані у кризових ситуаціях, зокрема у перші дні після катастрофи, коли доступ до територій або даних є обмеженим. Цей компонент включає:</w:t>
      </w:r>
    </w:p>
    <w:p w14:paraId="47359381" w14:textId="77777777" w:rsidR="00CF53B0" w:rsidRPr="005E3F2F" w:rsidRDefault="00CF53B0" w:rsidP="002211CE">
      <w:pPr>
        <w:pStyle w:val="af"/>
        <w:numPr>
          <w:ilvl w:val="0"/>
          <w:numId w:val="9"/>
        </w:numPr>
        <w:spacing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Мінімальні параметри оцінки у перші 72 години після події</w:t>
      </w:r>
      <w:r w:rsidRPr="005E3F2F">
        <w:rPr>
          <w:sz w:val="22"/>
          <w:szCs w:val="22"/>
          <w:lang w:val="uk-UA"/>
        </w:rPr>
        <w:t>, що дозволяють швидко зафіксувати масштаби впливу, кількість постраждалих, критичні потреби та загальні умови проживання;</w:t>
      </w:r>
    </w:p>
    <w:p w14:paraId="6D68848B" w14:textId="77777777" w:rsidR="00CF53B0" w:rsidRPr="005E3F2F" w:rsidRDefault="00CF53B0" w:rsidP="002211CE">
      <w:pPr>
        <w:pStyle w:val="af"/>
        <w:numPr>
          <w:ilvl w:val="0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Спрощені індикатори вразливості та базових потреб</w:t>
      </w:r>
      <w:r w:rsidRPr="005E3F2F">
        <w:rPr>
          <w:sz w:val="22"/>
          <w:szCs w:val="22"/>
          <w:lang w:val="uk-UA"/>
        </w:rPr>
        <w:t>, які можна застосувати навіть у разі відсутності детальної соціальної або демографічної інформації;</w:t>
      </w:r>
    </w:p>
    <w:p w14:paraId="5DB1A9AD" w14:textId="77777777" w:rsidR="00CF53B0" w:rsidRPr="005E3F2F" w:rsidRDefault="00CF53B0" w:rsidP="002211CE">
      <w:pPr>
        <w:pStyle w:val="af"/>
        <w:numPr>
          <w:ilvl w:val="0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Варіанти збору даних в умовах обмеженого доступу до територій</w:t>
      </w:r>
      <w:r w:rsidRPr="005E3F2F">
        <w:rPr>
          <w:sz w:val="22"/>
          <w:szCs w:val="22"/>
          <w:lang w:val="uk-UA"/>
        </w:rPr>
        <w:t>, включаючи:</w:t>
      </w:r>
    </w:p>
    <w:p w14:paraId="03C74252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дистанційні або телефонні інтерв’ю з </w:t>
      </w:r>
      <w:proofErr w:type="spellStart"/>
      <w:r w:rsidRPr="005E3F2F">
        <w:rPr>
          <w:sz w:val="22"/>
          <w:szCs w:val="22"/>
          <w:lang w:val="uk-UA"/>
        </w:rPr>
        <w:t>бенефіціарами</w:t>
      </w:r>
      <w:proofErr w:type="spellEnd"/>
      <w:r w:rsidRPr="005E3F2F">
        <w:rPr>
          <w:sz w:val="22"/>
          <w:szCs w:val="22"/>
          <w:lang w:val="uk-UA"/>
        </w:rPr>
        <w:t xml:space="preserve"> чи ключовими інформантами;</w:t>
      </w:r>
    </w:p>
    <w:p w14:paraId="0E47E98E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швидке експертне оцінювання на основі інформації від партнерських організацій;</w:t>
      </w:r>
    </w:p>
    <w:p w14:paraId="77D7B50A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вторинний аналіз доступних джерел (звіти, супутникові дані, відкриті джерела);</w:t>
      </w:r>
    </w:p>
    <w:p w14:paraId="29493346" w14:textId="77777777" w:rsidR="00CF53B0" w:rsidRPr="005E3F2F" w:rsidRDefault="00CF53B0" w:rsidP="002211CE">
      <w:pPr>
        <w:pStyle w:val="af"/>
        <w:numPr>
          <w:ilvl w:val="0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Узгодження з міжнародними підходами до швидкої оцінки</w:t>
      </w:r>
      <w:r w:rsidRPr="005E3F2F">
        <w:rPr>
          <w:sz w:val="22"/>
          <w:szCs w:val="22"/>
          <w:lang w:val="uk-UA"/>
        </w:rPr>
        <w:t xml:space="preserve">, зокрема використання або адаптацію шаблонів MIRA, REACH </w:t>
      </w:r>
      <w:proofErr w:type="spellStart"/>
      <w:r w:rsidRPr="005E3F2F">
        <w:rPr>
          <w:sz w:val="22"/>
          <w:szCs w:val="22"/>
          <w:lang w:val="uk-UA"/>
        </w:rPr>
        <w:t>Rapid</w:t>
      </w:r>
      <w:proofErr w:type="spellEnd"/>
      <w:r w:rsidRPr="005E3F2F">
        <w:rPr>
          <w:sz w:val="22"/>
          <w:szCs w:val="22"/>
          <w:lang w:val="uk-UA"/>
        </w:rPr>
        <w:t xml:space="preserve"> </w:t>
      </w:r>
      <w:proofErr w:type="spellStart"/>
      <w:r w:rsidRPr="005E3F2F">
        <w:rPr>
          <w:sz w:val="22"/>
          <w:szCs w:val="22"/>
          <w:lang w:val="uk-UA"/>
        </w:rPr>
        <w:t>Assessments</w:t>
      </w:r>
      <w:proofErr w:type="spellEnd"/>
      <w:r w:rsidRPr="005E3F2F">
        <w:rPr>
          <w:sz w:val="22"/>
          <w:szCs w:val="22"/>
          <w:lang w:val="uk-UA"/>
        </w:rPr>
        <w:t xml:space="preserve">, CWG </w:t>
      </w:r>
      <w:proofErr w:type="spellStart"/>
      <w:r w:rsidRPr="005E3F2F">
        <w:rPr>
          <w:sz w:val="22"/>
          <w:szCs w:val="22"/>
          <w:lang w:val="uk-UA"/>
        </w:rPr>
        <w:t>Rapid</w:t>
      </w:r>
      <w:proofErr w:type="spellEnd"/>
      <w:r w:rsidRPr="005E3F2F">
        <w:rPr>
          <w:sz w:val="22"/>
          <w:szCs w:val="22"/>
          <w:lang w:val="uk-UA"/>
        </w:rPr>
        <w:t xml:space="preserve"> </w:t>
      </w:r>
      <w:proofErr w:type="spellStart"/>
      <w:r w:rsidRPr="005E3F2F">
        <w:rPr>
          <w:sz w:val="22"/>
          <w:szCs w:val="22"/>
          <w:lang w:val="uk-UA"/>
        </w:rPr>
        <w:t>Response</w:t>
      </w:r>
      <w:proofErr w:type="spellEnd"/>
      <w:r w:rsidRPr="005E3F2F">
        <w:rPr>
          <w:sz w:val="22"/>
          <w:szCs w:val="22"/>
          <w:lang w:val="uk-UA"/>
        </w:rPr>
        <w:t xml:space="preserve"> </w:t>
      </w:r>
      <w:proofErr w:type="spellStart"/>
      <w:r w:rsidRPr="005E3F2F">
        <w:rPr>
          <w:sz w:val="22"/>
          <w:szCs w:val="22"/>
          <w:lang w:val="uk-UA"/>
        </w:rPr>
        <w:t>Tools</w:t>
      </w:r>
      <w:proofErr w:type="spellEnd"/>
      <w:r w:rsidRPr="005E3F2F">
        <w:rPr>
          <w:sz w:val="22"/>
          <w:szCs w:val="22"/>
          <w:lang w:val="uk-UA"/>
        </w:rPr>
        <w:t xml:space="preserve"> тощо;</w:t>
      </w:r>
    </w:p>
    <w:p w14:paraId="7840DAF8" w14:textId="77777777" w:rsidR="00CF53B0" w:rsidRPr="005E3F2F" w:rsidRDefault="00CF53B0" w:rsidP="002211CE">
      <w:pPr>
        <w:pStyle w:val="af"/>
        <w:numPr>
          <w:ilvl w:val="0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Рекомендації щодо використання даних швидкої оцінки у прийнятті рішень про застосування ГВД</w:t>
      </w:r>
      <w:r w:rsidRPr="005E3F2F">
        <w:rPr>
          <w:sz w:val="22"/>
          <w:szCs w:val="22"/>
          <w:lang w:val="uk-UA"/>
        </w:rPr>
        <w:t>, включаючи:</w:t>
      </w:r>
    </w:p>
    <w:p w14:paraId="6B1D546D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попередні сигнали для запуску інтервенції;</w:t>
      </w:r>
    </w:p>
    <w:p w14:paraId="5F3CCF02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інтерпретацію результатів у контексті обмеженої точності;</w:t>
      </w:r>
    </w:p>
    <w:p w14:paraId="3ADE71D8" w14:textId="77777777" w:rsidR="00CF53B0" w:rsidRPr="005E3F2F" w:rsidRDefault="00CF53B0" w:rsidP="002211CE">
      <w:pPr>
        <w:pStyle w:val="af"/>
        <w:numPr>
          <w:ilvl w:val="1"/>
          <w:numId w:val="9"/>
        </w:numPr>
        <w:spacing w:before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поетапне оновлення даних після стабілізації доступу.</w:t>
      </w:r>
    </w:p>
    <w:p w14:paraId="2C72E60C" w14:textId="77777777" w:rsidR="005E3F2F" w:rsidRPr="005E3F2F" w:rsidRDefault="005E3F2F" w:rsidP="005E3F2F">
      <w:pPr>
        <w:pStyle w:val="af"/>
        <w:spacing w:before="240" w:line="279" w:lineRule="auto"/>
        <w:ind w:left="1788"/>
        <w:contextualSpacing/>
        <w:jc w:val="both"/>
        <w:rPr>
          <w:sz w:val="22"/>
          <w:szCs w:val="22"/>
          <w:lang w:val="uk-UA"/>
        </w:rPr>
      </w:pPr>
    </w:p>
    <w:p w14:paraId="02C23773" w14:textId="77777777" w:rsidR="00CF53B0" w:rsidRPr="005E3F2F" w:rsidRDefault="00CF53B0" w:rsidP="00CF53B0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</w:pPr>
      <w:r w:rsidRPr="005E3F2F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  <w:t>3.2. Розробка технічної методології оцінки доцільності ГВД</w:t>
      </w:r>
    </w:p>
    <w:p w14:paraId="6FD5F14B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Постачальник має підготувати цілісну, </w:t>
      </w:r>
      <w:proofErr w:type="spellStart"/>
      <w:r w:rsidRPr="005E3F2F">
        <w:rPr>
          <w:sz w:val="22"/>
          <w:szCs w:val="22"/>
          <w:lang w:val="uk-UA"/>
        </w:rPr>
        <w:t>логічно</w:t>
      </w:r>
      <w:proofErr w:type="spellEnd"/>
      <w:r w:rsidRPr="005E3F2F">
        <w:rPr>
          <w:sz w:val="22"/>
          <w:szCs w:val="22"/>
          <w:lang w:val="uk-UA"/>
        </w:rPr>
        <w:t xml:space="preserve"> структуровану та практично застосовну методологію, яка включатиме:</w:t>
      </w:r>
    </w:p>
    <w:p w14:paraId="7D96C521" w14:textId="77777777" w:rsidR="00CF53B0" w:rsidRPr="005E3F2F" w:rsidRDefault="00CF53B0" w:rsidP="002211CE">
      <w:pPr>
        <w:pStyle w:val="af"/>
        <w:numPr>
          <w:ilvl w:val="0"/>
          <w:numId w:val="17"/>
        </w:numPr>
        <w:spacing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Систему ключових показників</w:t>
      </w:r>
      <w:r w:rsidRPr="005E3F2F">
        <w:rPr>
          <w:sz w:val="22"/>
          <w:szCs w:val="22"/>
          <w:lang w:val="uk-UA"/>
        </w:rPr>
        <w:t xml:space="preserve"> для оцінки гуманітарних потреб постраждалого населення, з фокусом на домогосподарства, вразливі групи, сезонність, житлові умови тощо;</w:t>
      </w:r>
    </w:p>
    <w:p w14:paraId="1C156FB6" w14:textId="77777777" w:rsidR="00CF53B0" w:rsidRPr="005E3F2F" w:rsidRDefault="00CF53B0" w:rsidP="002211CE">
      <w:pPr>
        <w:pStyle w:val="af"/>
        <w:numPr>
          <w:ilvl w:val="0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Аналіз доступу до ринків/маркетів і ринкової інфраструктури</w:t>
      </w:r>
      <w:r w:rsidRPr="005E3F2F">
        <w:rPr>
          <w:sz w:val="22"/>
          <w:szCs w:val="22"/>
          <w:lang w:val="uk-UA"/>
        </w:rPr>
        <w:t>, включаючи наявність товарів першої потреби, рівень цін, варіативність постачання, транспортну логістику, стабільність роботи торгових точок;</w:t>
      </w:r>
    </w:p>
    <w:p w14:paraId="7D6B622B" w14:textId="77777777" w:rsidR="00CF53B0" w:rsidRPr="005E3F2F" w:rsidRDefault="00CF53B0" w:rsidP="002211CE">
      <w:pPr>
        <w:pStyle w:val="af"/>
        <w:numPr>
          <w:ilvl w:val="0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Оцінку фінансової доступності та безпеки</w:t>
      </w:r>
      <w:r w:rsidRPr="005E3F2F">
        <w:rPr>
          <w:sz w:val="22"/>
          <w:szCs w:val="22"/>
          <w:lang w:val="uk-UA"/>
        </w:rPr>
        <w:t>, зокрема:</w:t>
      </w:r>
    </w:p>
    <w:p w14:paraId="1BA20FA6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Рівень фінансової інклюзії населення;</w:t>
      </w:r>
    </w:p>
    <w:p w14:paraId="333F08E1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Доступ до банківських та мобільних платіжних послуг;</w:t>
      </w:r>
    </w:p>
    <w:p w14:paraId="144474B6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Ідентифікацію потенційних ризиків шахрайства, зловживань, дублювання допомоги;</w:t>
      </w:r>
    </w:p>
    <w:p w14:paraId="213E1CD9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Перешкоди, які можуть впливати на безпечне використання ГВД;</w:t>
      </w:r>
    </w:p>
    <w:p w14:paraId="66E5632F" w14:textId="77777777" w:rsidR="00CF53B0" w:rsidRPr="005E3F2F" w:rsidRDefault="00CF53B0" w:rsidP="002211CE">
      <w:pPr>
        <w:pStyle w:val="af"/>
        <w:numPr>
          <w:ilvl w:val="0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Аналіз нормативно-правового середовища</w:t>
      </w:r>
      <w:r w:rsidRPr="005E3F2F">
        <w:rPr>
          <w:sz w:val="22"/>
          <w:szCs w:val="22"/>
          <w:lang w:val="uk-UA"/>
        </w:rPr>
        <w:t>:</w:t>
      </w:r>
    </w:p>
    <w:p w14:paraId="091ADE51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Існуюче законодавство щодо виплат;</w:t>
      </w:r>
    </w:p>
    <w:p w14:paraId="66CF6D8A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Обмеження або вимоги з боку держави чи інших регуляторів;</w:t>
      </w:r>
    </w:p>
    <w:p w14:paraId="3EAA361A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Особливості регіонального регулювання у сфері соціальної підтримки;</w:t>
      </w:r>
    </w:p>
    <w:p w14:paraId="22EA5DA9" w14:textId="77777777" w:rsidR="00CF53B0" w:rsidRPr="005E3F2F" w:rsidRDefault="00CF53B0" w:rsidP="002211CE">
      <w:pPr>
        <w:pStyle w:val="af"/>
        <w:numPr>
          <w:ilvl w:val="0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Розробку критеріїв прийнятності ГВД</w:t>
      </w:r>
      <w:r w:rsidRPr="005E3F2F">
        <w:rPr>
          <w:sz w:val="22"/>
          <w:szCs w:val="22"/>
          <w:lang w:val="uk-UA"/>
        </w:rPr>
        <w:t>:</w:t>
      </w:r>
    </w:p>
    <w:p w14:paraId="1417EA8C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Готовність, бажання і здатність бенефіціарів користуватись ГВД;</w:t>
      </w:r>
    </w:p>
    <w:p w14:paraId="748DC1A4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Культурні, соціальні, освітні або технічні бар’єри;</w:t>
      </w:r>
    </w:p>
    <w:p w14:paraId="7D4AA709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Особливі умови у зонах з обмеженою інфраструктурою;</w:t>
      </w:r>
    </w:p>
    <w:p w14:paraId="33F70B37" w14:textId="77777777" w:rsidR="00CF53B0" w:rsidRPr="005E3F2F" w:rsidRDefault="00CF53B0" w:rsidP="002211CE">
      <w:pPr>
        <w:pStyle w:val="af"/>
        <w:numPr>
          <w:ilvl w:val="0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Інструменти для збору даних</w:t>
      </w:r>
      <w:r w:rsidRPr="005E3F2F">
        <w:rPr>
          <w:sz w:val="22"/>
          <w:szCs w:val="22"/>
          <w:lang w:val="uk-UA"/>
        </w:rPr>
        <w:t>, зокрема:</w:t>
      </w:r>
    </w:p>
    <w:p w14:paraId="27761C11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Анкети для інтерв’ювання домогосподарств;</w:t>
      </w:r>
    </w:p>
    <w:p w14:paraId="791F7EE8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proofErr w:type="spellStart"/>
      <w:r w:rsidRPr="005E3F2F">
        <w:rPr>
          <w:sz w:val="22"/>
          <w:szCs w:val="22"/>
          <w:lang w:val="uk-UA"/>
        </w:rPr>
        <w:t>Гайди</w:t>
      </w:r>
      <w:proofErr w:type="spellEnd"/>
      <w:r w:rsidRPr="005E3F2F">
        <w:rPr>
          <w:sz w:val="22"/>
          <w:szCs w:val="22"/>
          <w:lang w:val="uk-UA"/>
        </w:rPr>
        <w:t xml:space="preserve"> для проведення фокус-групових дискусій (ФГД);</w:t>
      </w:r>
    </w:p>
    <w:p w14:paraId="4854761A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Чек-листи для аналізу ринків та об’єктів інфраструктури;</w:t>
      </w:r>
    </w:p>
    <w:p w14:paraId="6B43ABF8" w14:textId="77777777" w:rsidR="00CF53B0" w:rsidRPr="005E3F2F" w:rsidRDefault="00CF53B0" w:rsidP="002211CE">
      <w:pPr>
        <w:pStyle w:val="af"/>
        <w:numPr>
          <w:ilvl w:val="1"/>
          <w:numId w:val="17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Спрощені інструменти для швидкого використання польовими командами;</w:t>
      </w:r>
    </w:p>
    <w:p w14:paraId="1E2931D9" w14:textId="77777777" w:rsidR="00CF53B0" w:rsidRDefault="00CF53B0" w:rsidP="002211CE">
      <w:pPr>
        <w:pStyle w:val="af"/>
        <w:numPr>
          <w:ilvl w:val="1"/>
          <w:numId w:val="17"/>
        </w:numPr>
        <w:spacing w:before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Алгоритм узагальнення результатів та прийняття рішення щодо доцільності ГВД.</w:t>
      </w:r>
    </w:p>
    <w:p w14:paraId="1B0E856F" w14:textId="77777777" w:rsidR="005E3F2F" w:rsidRPr="005E3F2F" w:rsidRDefault="005E3F2F" w:rsidP="005E3F2F">
      <w:pPr>
        <w:pStyle w:val="af"/>
        <w:spacing w:before="240" w:line="279" w:lineRule="auto"/>
        <w:ind w:left="1788"/>
        <w:contextualSpacing/>
        <w:jc w:val="both"/>
        <w:rPr>
          <w:sz w:val="22"/>
          <w:szCs w:val="22"/>
          <w:lang w:val="uk-UA"/>
        </w:rPr>
      </w:pPr>
    </w:p>
    <w:p w14:paraId="2D6A02E9" w14:textId="77777777" w:rsidR="00CF53B0" w:rsidRPr="005E3F2F" w:rsidRDefault="00CF53B0" w:rsidP="00CF53B0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</w:pPr>
      <w:r w:rsidRPr="005E3F2F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  <w:t>3.3. Практичне тестування методології</w:t>
      </w:r>
    </w:p>
    <w:p w14:paraId="56FE7D82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Постачальник має організувати </w:t>
      </w:r>
      <w:r w:rsidRPr="005E3F2F">
        <w:rPr>
          <w:b/>
          <w:bCs/>
          <w:sz w:val="22"/>
          <w:szCs w:val="22"/>
          <w:lang w:val="uk-UA"/>
        </w:rPr>
        <w:t>тестування розробленої методології в одній з погоджених областей або громад</w:t>
      </w:r>
      <w:r w:rsidRPr="005E3F2F">
        <w:rPr>
          <w:sz w:val="22"/>
          <w:szCs w:val="22"/>
          <w:lang w:val="uk-UA"/>
        </w:rPr>
        <w:t>, що включатиме:</w:t>
      </w:r>
    </w:p>
    <w:p w14:paraId="7C21CE66" w14:textId="77777777" w:rsidR="00CF53B0" w:rsidRPr="005E3F2F" w:rsidRDefault="00CF53B0" w:rsidP="002211CE">
      <w:pPr>
        <w:pStyle w:val="af"/>
        <w:numPr>
          <w:ilvl w:val="0"/>
          <w:numId w:val="16"/>
        </w:numPr>
        <w:spacing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lastRenderedPageBreak/>
        <w:t>Координацію з командою ТЧХУ на місцях, залучення відповідних зацікавлених сторін;</w:t>
      </w:r>
    </w:p>
    <w:p w14:paraId="37F807A8" w14:textId="77777777" w:rsidR="00CF53B0" w:rsidRPr="005E3F2F" w:rsidRDefault="00CF53B0" w:rsidP="002211CE">
      <w:pPr>
        <w:pStyle w:val="af"/>
        <w:numPr>
          <w:ilvl w:val="0"/>
          <w:numId w:val="16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Проведення збору первинних даних згідно з методологією;</w:t>
      </w:r>
    </w:p>
    <w:p w14:paraId="414A8163" w14:textId="77777777" w:rsidR="00CF53B0" w:rsidRPr="005E3F2F" w:rsidRDefault="00CF53B0" w:rsidP="002211CE">
      <w:pPr>
        <w:pStyle w:val="af"/>
        <w:numPr>
          <w:ilvl w:val="0"/>
          <w:numId w:val="16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Аналіз зібраної інформації та формування висновків;</w:t>
      </w:r>
    </w:p>
    <w:p w14:paraId="62528622" w14:textId="77777777" w:rsidR="00CF53B0" w:rsidRDefault="00CF53B0" w:rsidP="002211CE">
      <w:pPr>
        <w:pStyle w:val="af"/>
        <w:numPr>
          <w:ilvl w:val="0"/>
          <w:numId w:val="16"/>
        </w:numPr>
        <w:spacing w:before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Підготовку повного </w:t>
      </w:r>
      <w:r w:rsidRPr="005E3F2F">
        <w:rPr>
          <w:b/>
          <w:bCs/>
          <w:sz w:val="22"/>
          <w:szCs w:val="22"/>
          <w:lang w:val="uk-UA"/>
        </w:rPr>
        <w:t>звіту за результатами оцінки</w:t>
      </w:r>
      <w:r w:rsidRPr="005E3F2F">
        <w:rPr>
          <w:sz w:val="22"/>
          <w:szCs w:val="22"/>
          <w:lang w:val="uk-UA"/>
        </w:rPr>
        <w:t xml:space="preserve">, який має відповідати стандарту фінального продукту та слугуватиме зразком для майбутніх </w:t>
      </w:r>
      <w:proofErr w:type="spellStart"/>
      <w:r w:rsidRPr="005E3F2F">
        <w:rPr>
          <w:sz w:val="22"/>
          <w:szCs w:val="22"/>
          <w:lang w:val="uk-UA"/>
        </w:rPr>
        <w:t>впроваджень</w:t>
      </w:r>
      <w:proofErr w:type="spellEnd"/>
      <w:r w:rsidRPr="005E3F2F">
        <w:rPr>
          <w:sz w:val="22"/>
          <w:szCs w:val="22"/>
          <w:lang w:val="uk-UA"/>
        </w:rPr>
        <w:t>.</w:t>
      </w:r>
    </w:p>
    <w:p w14:paraId="7FFB207A" w14:textId="77777777" w:rsidR="005E3F2F" w:rsidRPr="005E3F2F" w:rsidRDefault="005E3F2F" w:rsidP="005E3F2F">
      <w:pPr>
        <w:pStyle w:val="af"/>
        <w:spacing w:before="240" w:line="279" w:lineRule="auto"/>
        <w:ind w:left="1068"/>
        <w:contextualSpacing/>
        <w:jc w:val="both"/>
        <w:rPr>
          <w:sz w:val="22"/>
          <w:szCs w:val="22"/>
          <w:lang w:val="uk-UA"/>
        </w:rPr>
      </w:pPr>
    </w:p>
    <w:p w14:paraId="12F0B805" w14:textId="77777777" w:rsidR="00CF53B0" w:rsidRPr="005E3F2F" w:rsidRDefault="00CF53B0" w:rsidP="00CF53B0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</w:pPr>
      <w:r w:rsidRPr="005E3F2F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lang w:val="uk-UA"/>
        </w:rPr>
        <w:t>3.4. Розробка навчального та супровідного пакету</w:t>
      </w:r>
    </w:p>
    <w:p w14:paraId="37D06059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Постачальник має забезпечити ТЧХУ повним пакетом матеріалів, який дозволить організації самостійно застосовувати методологію в подальшій роботі:</w:t>
      </w:r>
    </w:p>
    <w:p w14:paraId="500D0994" w14:textId="77777777" w:rsidR="00CF53B0" w:rsidRPr="005E3F2F" w:rsidRDefault="00CF53B0" w:rsidP="002211CE">
      <w:pPr>
        <w:pStyle w:val="af"/>
        <w:numPr>
          <w:ilvl w:val="0"/>
          <w:numId w:val="15"/>
        </w:numPr>
        <w:spacing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Презентація основних положень методології</w:t>
      </w:r>
      <w:r w:rsidRPr="005E3F2F">
        <w:rPr>
          <w:sz w:val="22"/>
          <w:szCs w:val="22"/>
          <w:lang w:val="uk-UA"/>
        </w:rPr>
        <w:t xml:space="preserve"> — у форматі PowerPoint з поясненнями;</w:t>
      </w:r>
    </w:p>
    <w:p w14:paraId="1F35450A" w14:textId="77777777" w:rsidR="00CF53B0" w:rsidRPr="005E3F2F" w:rsidRDefault="00CF53B0" w:rsidP="002211CE">
      <w:pPr>
        <w:pStyle w:val="af"/>
        <w:numPr>
          <w:ilvl w:val="0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Покрокова інструкція</w:t>
      </w:r>
      <w:r w:rsidRPr="005E3F2F">
        <w:rPr>
          <w:sz w:val="22"/>
          <w:szCs w:val="22"/>
          <w:lang w:val="uk-UA"/>
        </w:rPr>
        <w:t xml:space="preserve"> для польових команд з проведення оцінки та обробки даних;</w:t>
      </w:r>
    </w:p>
    <w:p w14:paraId="59A6550B" w14:textId="77777777" w:rsidR="00CF53B0" w:rsidRPr="005E3F2F" w:rsidRDefault="00CF53B0" w:rsidP="002211CE">
      <w:pPr>
        <w:pStyle w:val="af"/>
        <w:numPr>
          <w:ilvl w:val="0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Робочі шаблони, формати та приклади</w:t>
      </w:r>
      <w:r w:rsidRPr="005E3F2F">
        <w:rPr>
          <w:sz w:val="22"/>
          <w:szCs w:val="22"/>
          <w:lang w:val="uk-UA"/>
        </w:rPr>
        <w:t>:</w:t>
      </w:r>
    </w:p>
    <w:p w14:paraId="5D195A9D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Форми анкет і чек-листів;</w:t>
      </w:r>
    </w:p>
    <w:p w14:paraId="30B62E26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Таблиці для зведення та аналізу результатів;</w:t>
      </w:r>
    </w:p>
    <w:p w14:paraId="58153DF9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Зразки польових звітів;</w:t>
      </w:r>
    </w:p>
    <w:p w14:paraId="41F74EF3" w14:textId="77777777" w:rsidR="00CF53B0" w:rsidRPr="005E3F2F" w:rsidRDefault="00CF53B0" w:rsidP="002211CE">
      <w:pPr>
        <w:pStyle w:val="af"/>
        <w:numPr>
          <w:ilvl w:val="0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Посібник із прийняття рішень</w:t>
      </w:r>
      <w:r w:rsidRPr="005E3F2F">
        <w:rPr>
          <w:sz w:val="22"/>
          <w:szCs w:val="22"/>
          <w:lang w:val="uk-UA"/>
        </w:rPr>
        <w:t>, який включає:</w:t>
      </w:r>
    </w:p>
    <w:p w14:paraId="479CA3C8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Алгоритм або дерево рішень (</w:t>
      </w:r>
      <w:proofErr w:type="spellStart"/>
      <w:r w:rsidRPr="005E3F2F">
        <w:rPr>
          <w:sz w:val="22"/>
          <w:szCs w:val="22"/>
          <w:lang w:val="uk-UA"/>
        </w:rPr>
        <w:t>decision</w:t>
      </w:r>
      <w:proofErr w:type="spellEnd"/>
      <w:r w:rsidRPr="005E3F2F">
        <w:rPr>
          <w:sz w:val="22"/>
          <w:szCs w:val="22"/>
          <w:lang w:val="uk-UA"/>
        </w:rPr>
        <w:t xml:space="preserve"> </w:t>
      </w:r>
      <w:proofErr w:type="spellStart"/>
      <w:r w:rsidRPr="005E3F2F">
        <w:rPr>
          <w:sz w:val="22"/>
          <w:szCs w:val="22"/>
          <w:lang w:val="uk-UA"/>
        </w:rPr>
        <w:t>tree</w:t>
      </w:r>
      <w:proofErr w:type="spellEnd"/>
      <w:r w:rsidRPr="005E3F2F">
        <w:rPr>
          <w:sz w:val="22"/>
          <w:szCs w:val="22"/>
          <w:lang w:val="uk-UA"/>
        </w:rPr>
        <w:t>);</w:t>
      </w:r>
    </w:p>
    <w:p w14:paraId="5F4411E3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Порогові значення та сигнали щодо використання ГВД;</w:t>
      </w:r>
    </w:p>
    <w:p w14:paraId="516F1053" w14:textId="77777777" w:rsidR="00CF53B0" w:rsidRPr="005E3F2F" w:rsidRDefault="00CF53B0" w:rsidP="002211CE">
      <w:pPr>
        <w:pStyle w:val="af"/>
        <w:numPr>
          <w:ilvl w:val="1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Рекомендації для ситуацій, коли ГВД недоцільна;</w:t>
      </w:r>
    </w:p>
    <w:p w14:paraId="2CD21858" w14:textId="77777777" w:rsidR="00CF53B0" w:rsidRPr="005E3F2F" w:rsidRDefault="00CF53B0" w:rsidP="002211CE">
      <w:pPr>
        <w:pStyle w:val="af"/>
        <w:numPr>
          <w:ilvl w:val="0"/>
          <w:numId w:val="15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b/>
          <w:bCs/>
          <w:sz w:val="22"/>
          <w:szCs w:val="22"/>
          <w:lang w:val="uk-UA"/>
        </w:rPr>
        <w:t>Рекомендації з оновлення методології</w:t>
      </w:r>
      <w:r w:rsidRPr="005E3F2F">
        <w:rPr>
          <w:sz w:val="22"/>
          <w:szCs w:val="22"/>
          <w:lang w:val="uk-UA"/>
        </w:rPr>
        <w:t xml:space="preserve"> в майбутньому, у разі змін ринку, політики або контексту.</w:t>
      </w:r>
    </w:p>
    <w:p w14:paraId="787E8C00" w14:textId="240D33BD" w:rsidR="00CF53B0" w:rsidRPr="00CF53B0" w:rsidRDefault="00887316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</w:t>
      </w:r>
      <w:r w:rsidR="00CF53B0"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4. Очікувані результати</w:t>
      </w:r>
    </w:p>
    <w:p w14:paraId="29CDD66F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У межах цієї консультаційної послуги постачальник має підготувати комплексний пакет результатів, що забезпечить можливість подальшого масштабування та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інституціоналізації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методології оцінки доцільності грошової або ваучерної допомоги в системі ТЧХУ.</w:t>
      </w:r>
    </w:p>
    <w:p w14:paraId="2DBB3D08" w14:textId="77777777" w:rsidR="00887316" w:rsidRPr="005E3F2F" w:rsidRDefault="00887316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58A832AB" w14:textId="2986A6D7" w:rsidR="00CF53B0" w:rsidRPr="005E3F2F" w:rsidRDefault="00CF53B0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5E3F2F">
        <w:rPr>
          <w:b/>
          <w:bCs/>
          <w:color w:val="000000" w:themeColor="text1"/>
          <w:sz w:val="22"/>
          <w:szCs w:val="22"/>
          <w:lang w:val="uk-UA"/>
        </w:rPr>
        <w:t>4.1. Методологія оперативної оцінки (українською та англійською мовами)</w:t>
      </w:r>
    </w:p>
    <w:p w14:paraId="47ACBBDD" w14:textId="77777777" w:rsidR="00CF53B0" w:rsidRPr="005E3F2F" w:rsidRDefault="00CF53B0" w:rsidP="002211CE">
      <w:pPr>
        <w:pStyle w:val="af"/>
        <w:numPr>
          <w:ilvl w:val="0"/>
          <w:numId w:val="14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Структурований документ, що містить:</w:t>
      </w:r>
    </w:p>
    <w:p w14:paraId="48AFDCC9" w14:textId="77777777" w:rsidR="00CF53B0" w:rsidRPr="005E3F2F" w:rsidRDefault="00CF53B0" w:rsidP="002211CE">
      <w:pPr>
        <w:pStyle w:val="af"/>
        <w:numPr>
          <w:ilvl w:val="1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Загальну логіку, етапи та підходи до оцінки;</w:t>
      </w:r>
    </w:p>
    <w:p w14:paraId="1DB5DA25" w14:textId="77777777" w:rsidR="00CF53B0" w:rsidRPr="005E3F2F" w:rsidRDefault="00CF53B0" w:rsidP="002211CE">
      <w:pPr>
        <w:pStyle w:val="af"/>
        <w:numPr>
          <w:ilvl w:val="1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Опис кожного блоку аналізу (потреби, ринки, фінанси, правова база тощо);</w:t>
      </w:r>
    </w:p>
    <w:p w14:paraId="647E9016" w14:textId="77777777" w:rsidR="00CF53B0" w:rsidRPr="005E3F2F" w:rsidRDefault="00CF53B0" w:rsidP="002211CE">
      <w:pPr>
        <w:pStyle w:val="af"/>
        <w:numPr>
          <w:ilvl w:val="1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Критерії для прийняття рішень щодо доцільності ГВД;</w:t>
      </w:r>
    </w:p>
    <w:p w14:paraId="666A833E" w14:textId="77777777" w:rsidR="00CF53B0" w:rsidRPr="005E3F2F" w:rsidRDefault="00CF53B0" w:rsidP="002211CE">
      <w:pPr>
        <w:pStyle w:val="af"/>
        <w:numPr>
          <w:ilvl w:val="1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Практичні інструкції щодо збору, обробки та інтерпретації даних;</w:t>
      </w:r>
    </w:p>
    <w:p w14:paraId="1F39C6E7" w14:textId="77777777" w:rsidR="00CF53B0" w:rsidRPr="005E3F2F" w:rsidRDefault="00CF53B0" w:rsidP="002211CE">
      <w:pPr>
        <w:pStyle w:val="af"/>
        <w:numPr>
          <w:ilvl w:val="1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Алгоритм прийняття рішень (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decision-making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tree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або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scorecard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>);</w:t>
      </w:r>
    </w:p>
    <w:p w14:paraId="06905C8B" w14:textId="77777777" w:rsidR="00CF53B0" w:rsidRPr="005E3F2F" w:rsidRDefault="00CF53B0" w:rsidP="002211CE">
      <w:pPr>
        <w:pStyle w:val="af"/>
        <w:numPr>
          <w:ilvl w:val="0"/>
          <w:numId w:val="14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Документ має бути зручним для застосування як на національному рівні, так і в роботі польових команд;</w:t>
      </w:r>
    </w:p>
    <w:p w14:paraId="6B3B050E" w14:textId="77777777" w:rsidR="00CF53B0" w:rsidRPr="005E3F2F" w:rsidRDefault="00CF53B0" w:rsidP="002211CE">
      <w:pPr>
        <w:pStyle w:val="af"/>
        <w:numPr>
          <w:ilvl w:val="0"/>
          <w:numId w:val="14"/>
        </w:numPr>
        <w:spacing w:before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Обов’язково підготовлений двома мовами: українською та англійською для внутрішнього та міжнародного використання.</w:t>
      </w:r>
    </w:p>
    <w:p w14:paraId="2729CAD6" w14:textId="77777777" w:rsidR="00887316" w:rsidRPr="005E3F2F" w:rsidRDefault="00887316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523DCBA4" w14:textId="032114DB" w:rsidR="00CF53B0" w:rsidRPr="005E3F2F" w:rsidRDefault="00CF53B0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5E3F2F">
        <w:rPr>
          <w:b/>
          <w:bCs/>
          <w:color w:val="000000" w:themeColor="text1"/>
          <w:sz w:val="22"/>
          <w:szCs w:val="22"/>
          <w:lang w:val="uk-UA"/>
        </w:rPr>
        <w:t>4.2. Звіт за результатами апробації в одній області України</w:t>
      </w:r>
    </w:p>
    <w:p w14:paraId="27BA3F9A" w14:textId="77777777" w:rsidR="00CF53B0" w:rsidRPr="005E3F2F" w:rsidRDefault="00CF53B0" w:rsidP="002211CE">
      <w:pPr>
        <w:pStyle w:val="af"/>
        <w:numPr>
          <w:ilvl w:val="0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Повний аналітичний звіт, підготовлений за результатами тестування методології в обраній громаді або регіоні, який має включати:</w:t>
      </w:r>
    </w:p>
    <w:p w14:paraId="2F26B570" w14:textId="77777777" w:rsidR="00CF53B0" w:rsidRPr="005E3F2F" w:rsidRDefault="00CF53B0" w:rsidP="002211CE">
      <w:pPr>
        <w:pStyle w:val="af"/>
        <w:numPr>
          <w:ilvl w:val="1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Вступ із описом регіонального контексту;</w:t>
      </w:r>
    </w:p>
    <w:p w14:paraId="7B0B4FE4" w14:textId="77777777" w:rsidR="00CF53B0" w:rsidRPr="005E3F2F" w:rsidRDefault="00CF53B0" w:rsidP="002211CE">
      <w:pPr>
        <w:pStyle w:val="af"/>
        <w:numPr>
          <w:ilvl w:val="1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Застосування методології по кожному блоку (потреби, ринки, фінанси тощо);</w:t>
      </w:r>
    </w:p>
    <w:p w14:paraId="7C04E598" w14:textId="77777777" w:rsidR="00CF53B0" w:rsidRPr="005E3F2F" w:rsidRDefault="00CF53B0" w:rsidP="002211CE">
      <w:pPr>
        <w:pStyle w:val="af"/>
        <w:numPr>
          <w:ilvl w:val="1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Виявлені обмеження та практичні спостереження;</w:t>
      </w:r>
    </w:p>
    <w:p w14:paraId="62E8FD84" w14:textId="77777777" w:rsidR="00CF53B0" w:rsidRPr="005E3F2F" w:rsidRDefault="00CF53B0" w:rsidP="002211CE">
      <w:pPr>
        <w:pStyle w:val="af"/>
        <w:numPr>
          <w:ilvl w:val="1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Рекомендації щодо вдосконалення методології перед масштабуванням;</w:t>
      </w:r>
    </w:p>
    <w:p w14:paraId="1F529030" w14:textId="77777777" w:rsidR="00CF53B0" w:rsidRPr="005E3F2F" w:rsidRDefault="00CF53B0" w:rsidP="002211CE">
      <w:pPr>
        <w:pStyle w:val="af"/>
        <w:numPr>
          <w:ilvl w:val="0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Звіт повинен бути оформлений як зразок для використання іншими командами, що впроваджуватимуть методику у майбутньому;</w:t>
      </w:r>
    </w:p>
    <w:p w14:paraId="3D72561B" w14:textId="77777777" w:rsidR="00CF53B0" w:rsidRPr="005E3F2F" w:rsidRDefault="00CF53B0" w:rsidP="002211CE">
      <w:pPr>
        <w:pStyle w:val="af"/>
        <w:numPr>
          <w:ilvl w:val="0"/>
          <w:numId w:val="13"/>
        </w:numPr>
        <w:spacing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Подається українською мовою (з коротким англомовним резюме).</w:t>
      </w:r>
    </w:p>
    <w:p w14:paraId="70600E51" w14:textId="77777777" w:rsidR="00887316" w:rsidRPr="005E3F2F" w:rsidRDefault="00887316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665E2D63" w14:textId="09572CD8" w:rsidR="00CF53B0" w:rsidRPr="005E3F2F" w:rsidRDefault="00CF53B0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5E3F2F">
        <w:rPr>
          <w:b/>
          <w:bCs/>
          <w:color w:val="000000" w:themeColor="text1"/>
          <w:sz w:val="22"/>
          <w:szCs w:val="22"/>
          <w:lang w:val="uk-UA"/>
        </w:rPr>
        <w:t>4.3. Повний навчальний пакет (українською та англійською мовами)</w:t>
      </w:r>
    </w:p>
    <w:p w14:paraId="4600182A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Пакет має забезпечити можливість самостійного впровадження методології польовими працівниками ТЧХУ. Він повинен включати:</w:t>
      </w:r>
    </w:p>
    <w:p w14:paraId="0CABDE00" w14:textId="77777777" w:rsidR="00CF53B0" w:rsidRPr="005E3F2F" w:rsidRDefault="00CF53B0" w:rsidP="002211CE">
      <w:pPr>
        <w:pStyle w:val="af"/>
        <w:numPr>
          <w:ilvl w:val="0"/>
          <w:numId w:val="11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Презентаційні матеріали у форматі PowerPoint з поясненнями;</w:t>
      </w:r>
    </w:p>
    <w:p w14:paraId="38705834" w14:textId="77777777" w:rsidR="00CF53B0" w:rsidRPr="005E3F2F" w:rsidRDefault="00CF53B0" w:rsidP="002211CE">
      <w:pPr>
        <w:pStyle w:val="af"/>
        <w:numPr>
          <w:ilvl w:val="0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lastRenderedPageBreak/>
        <w:t>Інструкції для тренерів та польових працівників;</w:t>
      </w:r>
    </w:p>
    <w:p w14:paraId="48F49131" w14:textId="77777777" w:rsidR="00CF53B0" w:rsidRPr="005E3F2F" w:rsidRDefault="00CF53B0" w:rsidP="002211CE">
      <w:pPr>
        <w:pStyle w:val="af"/>
        <w:numPr>
          <w:ilvl w:val="0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Типові шаблони та формуляри, зокрема:</w:t>
      </w:r>
    </w:p>
    <w:p w14:paraId="6972D785" w14:textId="77777777" w:rsidR="00CF53B0" w:rsidRPr="005E3F2F" w:rsidRDefault="00CF53B0" w:rsidP="002211CE">
      <w:pPr>
        <w:pStyle w:val="af"/>
        <w:numPr>
          <w:ilvl w:val="1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Анкети для бенефіціарів;</w:t>
      </w:r>
    </w:p>
    <w:p w14:paraId="75C2F788" w14:textId="77777777" w:rsidR="00CF53B0" w:rsidRPr="005E3F2F" w:rsidRDefault="00CF53B0" w:rsidP="002211CE">
      <w:pPr>
        <w:pStyle w:val="af"/>
        <w:numPr>
          <w:ilvl w:val="1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5E3F2F">
        <w:rPr>
          <w:color w:val="000000" w:themeColor="text1"/>
          <w:sz w:val="22"/>
          <w:szCs w:val="22"/>
          <w:lang w:val="uk-UA"/>
        </w:rPr>
        <w:t>Гайди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для фокус-групових дискусій;</w:t>
      </w:r>
    </w:p>
    <w:p w14:paraId="539F2407" w14:textId="77777777" w:rsidR="00CF53B0" w:rsidRPr="005E3F2F" w:rsidRDefault="00CF53B0" w:rsidP="002211CE">
      <w:pPr>
        <w:pStyle w:val="af"/>
        <w:numPr>
          <w:ilvl w:val="1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Чек-листи для ринкових оцінок;</w:t>
      </w:r>
    </w:p>
    <w:p w14:paraId="1B35F1B1" w14:textId="77777777" w:rsidR="00CF53B0" w:rsidRPr="005E3F2F" w:rsidRDefault="00CF53B0" w:rsidP="002211CE">
      <w:pPr>
        <w:pStyle w:val="af"/>
        <w:numPr>
          <w:ilvl w:val="1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Таблиці для обробки даних (в Excel або інструмент для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Kobo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>/ODK/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CommCare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>);</w:t>
      </w:r>
    </w:p>
    <w:p w14:paraId="7F85E246" w14:textId="77777777" w:rsidR="00CF53B0" w:rsidRPr="005E3F2F" w:rsidRDefault="00CF53B0" w:rsidP="002211CE">
      <w:pPr>
        <w:pStyle w:val="af"/>
        <w:numPr>
          <w:ilvl w:val="0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Рекомендації з підготовки локальних команд до збору даних (логістика, безпека, інформована згода);</w:t>
      </w:r>
    </w:p>
    <w:p w14:paraId="4E468280" w14:textId="77777777" w:rsidR="00CF53B0" w:rsidRPr="005E3F2F" w:rsidRDefault="00CF53B0" w:rsidP="002211CE">
      <w:pPr>
        <w:pStyle w:val="af"/>
        <w:numPr>
          <w:ilvl w:val="0"/>
          <w:numId w:val="11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Посібник із прийняття рішень, заснований на підходах, розроблених у межах проєкту;</w:t>
      </w:r>
    </w:p>
    <w:p w14:paraId="02095813" w14:textId="77777777" w:rsidR="00CF53B0" w:rsidRPr="005E3F2F" w:rsidRDefault="00CF53B0" w:rsidP="002211CE">
      <w:pPr>
        <w:pStyle w:val="af"/>
        <w:numPr>
          <w:ilvl w:val="0"/>
          <w:numId w:val="11"/>
        </w:numPr>
        <w:spacing w:before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Всі матеріали повинні бути доступні у двох мовах — українській та англійській — та придатні для друку або онлайн-розповсюдження.</w:t>
      </w:r>
    </w:p>
    <w:p w14:paraId="44793B69" w14:textId="77777777" w:rsidR="00887316" w:rsidRPr="005E3F2F" w:rsidRDefault="00887316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B846FC6" w14:textId="08413E6A" w:rsidR="00CF53B0" w:rsidRPr="00C50E69" w:rsidRDefault="00CF53B0" w:rsidP="00CF53B0">
      <w:pPr>
        <w:ind w:firstLine="708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5E3F2F">
        <w:rPr>
          <w:b/>
          <w:bCs/>
          <w:color w:val="000000" w:themeColor="text1"/>
          <w:sz w:val="22"/>
          <w:szCs w:val="22"/>
          <w:lang w:val="uk-UA"/>
        </w:rPr>
        <w:t>4.4. Презентація результатів (до 2 годин</w:t>
      </w:r>
      <w:r w:rsidR="00C96787">
        <w:rPr>
          <w:b/>
          <w:bCs/>
          <w:color w:val="000000" w:themeColor="text1"/>
          <w:sz w:val="22"/>
          <w:szCs w:val="22"/>
          <w:lang w:val="uk-UA"/>
        </w:rPr>
        <w:t xml:space="preserve">, </w:t>
      </w:r>
      <w:r w:rsidR="00C50E69" w:rsidRPr="00C50E69">
        <w:rPr>
          <w:b/>
          <w:bCs/>
          <w:color w:val="000000" w:themeColor="text1"/>
          <w:sz w:val="22"/>
          <w:szCs w:val="22"/>
          <w:lang w:val="uk-UA"/>
        </w:rPr>
        <w:t xml:space="preserve">орієнтовно </w:t>
      </w:r>
      <w:r w:rsidR="00C96787" w:rsidRPr="00C50E69">
        <w:rPr>
          <w:b/>
          <w:bCs/>
          <w:color w:val="000000" w:themeColor="text1"/>
          <w:sz w:val="22"/>
          <w:szCs w:val="22"/>
          <w:lang w:val="uk-UA"/>
        </w:rPr>
        <w:t>до 20 слайдів</w:t>
      </w:r>
      <w:r w:rsidRPr="00C50E69">
        <w:rPr>
          <w:b/>
          <w:bCs/>
          <w:color w:val="000000" w:themeColor="text1"/>
          <w:sz w:val="22"/>
          <w:szCs w:val="22"/>
          <w:lang w:val="uk-UA"/>
        </w:rPr>
        <w:t>)</w:t>
      </w:r>
    </w:p>
    <w:p w14:paraId="62C0D27A" w14:textId="77777777" w:rsidR="00CF53B0" w:rsidRPr="005E3F2F" w:rsidRDefault="00CF53B0" w:rsidP="002211CE">
      <w:pPr>
        <w:pStyle w:val="af"/>
        <w:numPr>
          <w:ilvl w:val="0"/>
          <w:numId w:val="12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Проведення сесії для ключових співробітників ТЧХУ, яка включатиме:</w:t>
      </w:r>
    </w:p>
    <w:p w14:paraId="1A57711B" w14:textId="77777777" w:rsidR="00CF53B0" w:rsidRPr="005E3F2F" w:rsidRDefault="00CF53B0" w:rsidP="002211CE">
      <w:pPr>
        <w:pStyle w:val="af"/>
        <w:numPr>
          <w:ilvl w:val="1"/>
          <w:numId w:val="12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Представлення логіки методології, її застосування та практичної цінності;</w:t>
      </w:r>
    </w:p>
    <w:p w14:paraId="279AEA08" w14:textId="77777777" w:rsidR="00CF53B0" w:rsidRPr="005E3F2F" w:rsidRDefault="00CF53B0" w:rsidP="002211CE">
      <w:pPr>
        <w:pStyle w:val="af"/>
        <w:numPr>
          <w:ilvl w:val="1"/>
          <w:numId w:val="12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Демонстрацію навчального пакета;</w:t>
      </w:r>
    </w:p>
    <w:p w14:paraId="7D110AD8" w14:textId="77777777" w:rsidR="00CF53B0" w:rsidRPr="005E3F2F" w:rsidRDefault="00CF53B0" w:rsidP="002211CE">
      <w:pPr>
        <w:pStyle w:val="af"/>
        <w:numPr>
          <w:ilvl w:val="1"/>
          <w:numId w:val="12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Обговорення досвіду апробації;</w:t>
      </w:r>
    </w:p>
    <w:p w14:paraId="11DA0DC9" w14:textId="77777777" w:rsidR="00CF53B0" w:rsidRPr="005E3F2F" w:rsidRDefault="00CF53B0" w:rsidP="002211CE">
      <w:pPr>
        <w:pStyle w:val="af"/>
        <w:numPr>
          <w:ilvl w:val="1"/>
          <w:numId w:val="12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Сесію питань та відповідей;</w:t>
      </w:r>
    </w:p>
    <w:p w14:paraId="2CB78379" w14:textId="35EDB407" w:rsidR="00887316" w:rsidRPr="005E3F2F" w:rsidRDefault="00CF53B0" w:rsidP="002211CE">
      <w:pPr>
        <w:pStyle w:val="af"/>
        <w:numPr>
          <w:ilvl w:val="0"/>
          <w:numId w:val="12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Формат — інтерактивний, з акцентом на підготовку команди до подальшого самостійного використання інструменту.</w:t>
      </w:r>
    </w:p>
    <w:p w14:paraId="54FDBB92" w14:textId="54E806DE" w:rsidR="00CF53B0" w:rsidRPr="00CF53B0" w:rsidRDefault="00887316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</w:t>
      </w:r>
      <w:r w:rsidR="00CF53B0"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5. Очікуваний обсяг роботи</w:t>
      </w:r>
    </w:p>
    <w:p w14:paraId="2511BD5D" w14:textId="77777777" w:rsidR="00CF53B0" w:rsidRPr="00686528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Надання консультаційної підтримки планується в </w:t>
      </w:r>
      <w:r w:rsidRPr="00686528">
        <w:rPr>
          <w:sz w:val="22"/>
          <w:szCs w:val="22"/>
          <w:lang w:val="uk-UA"/>
        </w:rPr>
        <w:t>період з с</w:t>
      </w:r>
      <w:r w:rsidRPr="00686528">
        <w:rPr>
          <w:b/>
          <w:bCs/>
          <w:sz w:val="22"/>
          <w:szCs w:val="22"/>
          <w:lang w:val="uk-UA"/>
        </w:rPr>
        <w:t>ерпня 2025 року по жовтень 2025 року (3 місяці)</w:t>
      </w:r>
      <w:r w:rsidRPr="00686528">
        <w:rPr>
          <w:sz w:val="22"/>
          <w:szCs w:val="22"/>
          <w:lang w:val="uk-UA"/>
        </w:rPr>
        <w:t xml:space="preserve"> з можливістю продовження у разі потреби.</w:t>
      </w:r>
    </w:p>
    <w:p w14:paraId="349A4CC9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686528">
        <w:rPr>
          <w:sz w:val="22"/>
          <w:szCs w:val="22"/>
          <w:lang w:val="uk-UA"/>
        </w:rPr>
        <w:t>За необхідності передбачаються виїзди до регіонів України для проведення тестування методології на практиці та збору даних для прикладного звіту.</w:t>
      </w:r>
    </w:p>
    <w:p w14:paraId="1E80971C" w14:textId="77777777" w:rsidR="00CF53B0" w:rsidRPr="005E3F2F" w:rsidRDefault="00CF53B0" w:rsidP="00CF53B0">
      <w:pPr>
        <w:ind w:firstLine="708"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>Графік реалізації та орієнтовний обсяг завдань:</w:t>
      </w:r>
    </w:p>
    <w:p w14:paraId="4631C9B7" w14:textId="77777777" w:rsidR="00CF53B0" w:rsidRPr="00AA402C" w:rsidRDefault="00CF53B0" w:rsidP="002211CE">
      <w:pPr>
        <w:pStyle w:val="af"/>
        <w:numPr>
          <w:ilvl w:val="0"/>
          <w:numId w:val="19"/>
        </w:numPr>
        <w:spacing w:after="240" w:line="279" w:lineRule="auto"/>
        <w:contextualSpacing/>
        <w:jc w:val="both"/>
        <w:rPr>
          <w:sz w:val="22"/>
          <w:szCs w:val="22"/>
          <w:lang w:val="uk-UA"/>
        </w:rPr>
      </w:pPr>
      <w:r w:rsidRPr="005E3F2F">
        <w:rPr>
          <w:sz w:val="22"/>
          <w:szCs w:val="22"/>
          <w:lang w:val="uk-UA"/>
        </w:rPr>
        <w:t xml:space="preserve">Розробка методології оцінки — </w:t>
      </w:r>
      <w:r w:rsidRPr="00AA402C">
        <w:rPr>
          <w:sz w:val="22"/>
          <w:szCs w:val="22"/>
          <w:lang w:val="uk-UA"/>
        </w:rPr>
        <w:t>орієнтовно до 10 робочих днів. Повне завершення цього компоненту очікується до вересня 2025 року, включаючи підготовку інструментарію та концепції.</w:t>
      </w:r>
    </w:p>
    <w:p w14:paraId="7F144253" w14:textId="77777777" w:rsidR="00CF53B0" w:rsidRPr="00AA402C" w:rsidRDefault="00CF53B0" w:rsidP="002211CE">
      <w:pPr>
        <w:pStyle w:val="af"/>
        <w:numPr>
          <w:ilvl w:val="0"/>
          <w:numId w:val="19"/>
        </w:numPr>
        <w:spacing w:before="240" w:after="240" w:line="279" w:lineRule="auto"/>
        <w:contextualSpacing/>
        <w:jc w:val="both"/>
        <w:rPr>
          <w:sz w:val="22"/>
          <w:szCs w:val="22"/>
          <w:lang w:val="uk-UA"/>
        </w:rPr>
      </w:pPr>
      <w:r w:rsidRPr="00AA402C">
        <w:rPr>
          <w:sz w:val="22"/>
          <w:szCs w:val="22"/>
          <w:lang w:val="uk-UA"/>
        </w:rPr>
        <w:t>Польове тестування методології у громаді — орієнтовно до 40 робочих днів. Передбачається проведення виїзної оцінки та підготовка звіту до кінця серпня 2025 року.</w:t>
      </w:r>
    </w:p>
    <w:p w14:paraId="474169FB" w14:textId="77777777" w:rsidR="00CF53B0" w:rsidRPr="00AA402C" w:rsidRDefault="00CF53B0" w:rsidP="002211CE">
      <w:pPr>
        <w:pStyle w:val="af"/>
        <w:numPr>
          <w:ilvl w:val="0"/>
          <w:numId w:val="19"/>
        </w:numPr>
        <w:spacing w:before="240" w:line="279" w:lineRule="auto"/>
        <w:contextualSpacing/>
        <w:jc w:val="both"/>
        <w:rPr>
          <w:sz w:val="22"/>
          <w:szCs w:val="22"/>
          <w:lang w:val="uk-UA"/>
        </w:rPr>
      </w:pPr>
      <w:r w:rsidRPr="00AA402C">
        <w:rPr>
          <w:sz w:val="22"/>
          <w:szCs w:val="22"/>
          <w:lang w:val="uk-UA"/>
        </w:rPr>
        <w:t>Розробка навчального пакета та онлайн-презентація для команди ТЧХУ — орієнтовно до 10 робочих днів. Очікується завершення цього етапу до вересня 2025 року, з урахуванням інтеграції зібраного досвіду та рекомендацій.</w:t>
      </w:r>
    </w:p>
    <w:p w14:paraId="338B9787" w14:textId="77777777" w:rsidR="00CF53B0" w:rsidRPr="005E3F2F" w:rsidRDefault="00CF53B0" w:rsidP="00CF53B0">
      <w:pPr>
        <w:spacing w:after="240"/>
        <w:ind w:firstLine="708"/>
        <w:jc w:val="both"/>
        <w:rPr>
          <w:sz w:val="22"/>
          <w:szCs w:val="22"/>
          <w:lang w:val="uk-UA"/>
        </w:rPr>
      </w:pPr>
      <w:r w:rsidRPr="00AA402C">
        <w:rPr>
          <w:sz w:val="22"/>
          <w:szCs w:val="22"/>
          <w:lang w:val="uk-UA"/>
        </w:rPr>
        <w:t>Кінцеві строки виконання кожного з компонентів узгоджуватимуться із ТЧХУ</w:t>
      </w:r>
      <w:r w:rsidRPr="005E3F2F">
        <w:rPr>
          <w:sz w:val="22"/>
          <w:szCs w:val="22"/>
          <w:lang w:val="uk-UA"/>
        </w:rPr>
        <w:t xml:space="preserve"> та мають бути дотримані в повному обсязі.</w:t>
      </w:r>
    </w:p>
    <w:p w14:paraId="43871EEE" w14:textId="1C213D11" w:rsidR="00CF53B0" w:rsidRPr="00CF53B0" w:rsidRDefault="00887316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  </w:t>
      </w:r>
      <w:r w:rsidR="00CF53B0"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6. Вимоги до постачальника</w:t>
      </w:r>
    </w:p>
    <w:p w14:paraId="31BA632F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До участі в тендері запрошуються організації або незалежні консультанти (індивідуальні чи об’єднані в команду), які мають підтверджений досвід у сфері оцінювання гуманітарних потреб, впровадження грошової або ваучерної допомоги, а також розробки прикладних інструментів у гуманітарному контексті. </w:t>
      </w:r>
    </w:p>
    <w:p w14:paraId="567BC9EE" w14:textId="77777777" w:rsidR="00CF53B0" w:rsidRPr="005E3F2F" w:rsidRDefault="00CF53B0" w:rsidP="00CF53B0">
      <w:pPr>
        <w:ind w:firstLine="708"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Обов’язкові та бажані вимоги наведені нижче:</w:t>
      </w:r>
    </w:p>
    <w:p w14:paraId="65FE90B7" w14:textId="77777777" w:rsidR="00CF53B0" w:rsidRPr="005E3F2F" w:rsidRDefault="00CF53B0" w:rsidP="002211CE">
      <w:pPr>
        <w:pStyle w:val="af"/>
        <w:numPr>
          <w:ilvl w:val="0"/>
          <w:numId w:val="10"/>
        </w:numPr>
        <w:spacing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Практичний досвід реалізації оцінок доцільності або ефективності ГВД у контексті гуманітарної або надзвичайної ситуації.</w:t>
      </w:r>
    </w:p>
    <w:p w14:paraId="7202B3D7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Вітається досвід оцінювання у контексті України або країн з подібним політичним, соціальним чи ринковим середовищем.</w:t>
      </w:r>
    </w:p>
    <w:p w14:paraId="6CBA2681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Розроблення рамок оцінки, логічних моделей, індикаторів, алгоритмів прийняття рішень.</w:t>
      </w:r>
    </w:p>
    <w:p w14:paraId="3C64162E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Розроблення практичних навчальних пакетів, шаблонів та посібників.</w:t>
      </w:r>
    </w:p>
    <w:p w14:paraId="66B3AB2A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Досвід співпраці з Рухом Червоного Хреста та Червоного Півмісяця або іншими міжнародними гуманітарними структурами (UNICEF, UNHCR, WFP, OCHA,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INGOs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тощо) буде суттєвою перевагою.</w:t>
      </w:r>
    </w:p>
    <w:p w14:paraId="15BA5CE7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lastRenderedPageBreak/>
        <w:t>Наявність відповідного технічного та організаційного ресурсу для реалізації проєкту в стислі строки (до 12 тижнів).</w:t>
      </w:r>
    </w:p>
    <w:p w14:paraId="298AB9F3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Гнучкість у форматі роботи, з готовністю до дистанційної взаємодії та виїзду в регіони України (за потреби).</w:t>
      </w:r>
    </w:p>
    <w:p w14:paraId="4A0C6350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Здатність перетворювати складні аналітичні підходи на прості, придатні до використання інструменти для польових команд.</w:t>
      </w:r>
    </w:p>
    <w:p w14:paraId="584ACB34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Відмінне володіння українською та англійською мовами.</w:t>
      </w:r>
    </w:p>
    <w:p w14:paraId="48626D3F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 xml:space="preserve">Знання принципів, стандартів та керівних документів (наприклад,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CaLP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, MEB,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Sphere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Grand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5E3F2F">
        <w:rPr>
          <w:color w:val="000000" w:themeColor="text1"/>
          <w:sz w:val="22"/>
          <w:szCs w:val="22"/>
          <w:lang w:val="uk-UA"/>
        </w:rPr>
        <w:t>Bargain</w:t>
      </w:r>
      <w:proofErr w:type="spellEnd"/>
      <w:r w:rsidRPr="005E3F2F">
        <w:rPr>
          <w:color w:val="000000" w:themeColor="text1"/>
          <w:sz w:val="22"/>
          <w:szCs w:val="22"/>
          <w:lang w:val="uk-UA"/>
        </w:rPr>
        <w:t>) буде перевагою.</w:t>
      </w:r>
    </w:p>
    <w:p w14:paraId="0305DE2F" w14:textId="77777777" w:rsidR="00CF53B0" w:rsidRPr="005E3F2F" w:rsidRDefault="00CF53B0" w:rsidP="002211CE">
      <w:pPr>
        <w:pStyle w:val="af"/>
        <w:numPr>
          <w:ilvl w:val="0"/>
          <w:numId w:val="10"/>
        </w:numPr>
        <w:spacing w:before="240" w:after="240" w:line="279" w:lineRule="auto"/>
        <w:contextualSpacing/>
        <w:jc w:val="both"/>
        <w:rPr>
          <w:color w:val="000000" w:themeColor="text1"/>
          <w:sz w:val="22"/>
          <w:szCs w:val="22"/>
          <w:lang w:val="uk-UA"/>
        </w:rPr>
      </w:pPr>
      <w:r w:rsidRPr="005E3F2F">
        <w:rPr>
          <w:color w:val="000000" w:themeColor="text1"/>
          <w:sz w:val="22"/>
          <w:szCs w:val="22"/>
          <w:lang w:val="uk-UA"/>
        </w:rPr>
        <w:t>Дотримання етичних стандартів у проведенні оцінок, у тому числі принципів конфіденційності, добровільності та інформованої згоди.</w:t>
      </w:r>
    </w:p>
    <w:p w14:paraId="265D334D" w14:textId="7736F168" w:rsidR="00CF53B0" w:rsidRPr="00CF53B0" w:rsidRDefault="00887316" w:rsidP="00CF53B0">
      <w:pPr>
        <w:pStyle w:val="4"/>
        <w:spacing w:before="3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         </w:t>
      </w:r>
      <w:r w:rsidR="00CF53B0" w:rsidRPr="00CF53B0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7. </w:t>
      </w:r>
      <w:r w:rsidR="00AE098F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Умови надання </w:t>
      </w:r>
      <w:r w:rsidR="00344B9D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цінової пропозиції</w:t>
      </w:r>
    </w:p>
    <w:p w14:paraId="6D6045ED" w14:textId="11D82768" w:rsidR="00E05A8E" w:rsidRPr="00C90E20" w:rsidRDefault="00E05A8E" w:rsidP="00C90E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uk-UA"/>
        </w:rPr>
      </w:pPr>
      <w:r w:rsidRPr="00C90E20">
        <w:rPr>
          <w:sz w:val="22"/>
          <w:szCs w:val="22"/>
          <w:lang w:val="uk-UA"/>
        </w:rPr>
        <w:t>Вважається, що Учасник повністю розуміє обсяг надання послуг та гарантує, що вартість всіх необхідних основних, супутніх та допоміжних послуг повністю врахована у ціновій пропозиції.</w:t>
      </w:r>
    </w:p>
    <w:p w14:paraId="7C5DFE7F" w14:textId="77777777" w:rsidR="00A6780F" w:rsidRDefault="00344B9D" w:rsidP="002211C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79" w:lineRule="auto"/>
        <w:ind w:left="709" w:hanging="283"/>
        <w:contextualSpacing/>
        <w:jc w:val="both"/>
        <w:rPr>
          <w:sz w:val="22"/>
          <w:szCs w:val="22"/>
          <w:lang w:val="uk-UA"/>
        </w:rPr>
      </w:pPr>
      <w:r w:rsidRPr="00C90E20">
        <w:rPr>
          <w:sz w:val="22"/>
          <w:szCs w:val="22"/>
          <w:lang w:val="uk-UA"/>
        </w:rPr>
        <w:t xml:space="preserve">Цінова пропозиція має враховувати </w:t>
      </w:r>
      <w:r w:rsidRPr="00015C32">
        <w:rPr>
          <w:sz w:val="22"/>
          <w:szCs w:val="22"/>
          <w:lang w:val="uk-UA"/>
        </w:rPr>
        <w:t>гонорари консультанта / команди</w:t>
      </w:r>
      <w:r w:rsidR="00D17DDF" w:rsidRPr="00015C32">
        <w:rPr>
          <w:sz w:val="22"/>
          <w:szCs w:val="22"/>
          <w:lang w:val="uk-UA"/>
        </w:rPr>
        <w:t xml:space="preserve"> Виконавця.</w:t>
      </w:r>
    </w:p>
    <w:p w14:paraId="5B34B347" w14:textId="1AA98609" w:rsidR="00D17DDF" w:rsidRPr="00A01148" w:rsidRDefault="00A6780F" w:rsidP="002211C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79" w:lineRule="auto"/>
        <w:contextualSpacing/>
        <w:jc w:val="both"/>
        <w:rPr>
          <w:i/>
          <w:iCs/>
          <w:sz w:val="22"/>
          <w:szCs w:val="22"/>
          <w:lang w:val="uk-UA"/>
        </w:rPr>
      </w:pPr>
      <w:r w:rsidRPr="006163D4">
        <w:rPr>
          <w:sz w:val="22"/>
          <w:szCs w:val="22"/>
          <w:lang w:val="uk-UA"/>
        </w:rPr>
        <w:t>Ц</w:t>
      </w:r>
      <w:r w:rsidR="00D17DDF" w:rsidRPr="006163D4">
        <w:rPr>
          <w:sz w:val="22"/>
          <w:szCs w:val="22"/>
          <w:lang w:val="uk-UA"/>
        </w:rPr>
        <w:t xml:space="preserve">інова пропозиція має </w:t>
      </w:r>
      <w:r w:rsidR="00015C32" w:rsidRPr="006163D4">
        <w:rPr>
          <w:sz w:val="22"/>
          <w:szCs w:val="22"/>
          <w:lang w:val="uk-UA"/>
        </w:rPr>
        <w:t>включати витрати на поїздку</w:t>
      </w:r>
      <w:r w:rsidRPr="006163D4">
        <w:rPr>
          <w:sz w:val="22"/>
          <w:szCs w:val="22"/>
          <w:lang w:val="uk-UA"/>
        </w:rPr>
        <w:t xml:space="preserve"> (</w:t>
      </w:r>
      <w:r w:rsidRPr="00C90E20">
        <w:rPr>
          <w:sz w:val="22"/>
          <w:szCs w:val="22"/>
          <w:lang w:val="uk-UA"/>
        </w:rPr>
        <w:t xml:space="preserve">відрядження, транспортування, проживання, </w:t>
      </w:r>
      <w:r w:rsidR="000B416B" w:rsidRPr="00C90E20">
        <w:rPr>
          <w:sz w:val="22"/>
          <w:szCs w:val="22"/>
          <w:lang w:val="uk-UA"/>
        </w:rPr>
        <w:t>харчування команди Виконавця)</w:t>
      </w:r>
      <w:r w:rsidR="00015C32" w:rsidRPr="006163D4">
        <w:rPr>
          <w:sz w:val="22"/>
          <w:szCs w:val="22"/>
          <w:lang w:val="uk-UA"/>
        </w:rPr>
        <w:t xml:space="preserve"> для тестування методології (за потреби)</w:t>
      </w:r>
      <w:r w:rsidR="000B416B" w:rsidRPr="006163D4">
        <w:rPr>
          <w:sz w:val="22"/>
          <w:szCs w:val="22"/>
          <w:lang w:val="uk-UA"/>
        </w:rPr>
        <w:t xml:space="preserve">. </w:t>
      </w:r>
      <w:r w:rsidR="000B416B" w:rsidRPr="00A01148">
        <w:rPr>
          <w:i/>
          <w:iCs/>
          <w:sz w:val="22"/>
          <w:szCs w:val="22"/>
          <w:lang w:val="uk-UA"/>
        </w:rPr>
        <w:t xml:space="preserve">В даному випадку </w:t>
      </w:r>
      <w:r w:rsidR="006F5D1D" w:rsidRPr="00A01148">
        <w:rPr>
          <w:i/>
          <w:iCs/>
          <w:sz w:val="22"/>
          <w:szCs w:val="22"/>
          <w:lang w:val="uk-UA"/>
        </w:rPr>
        <w:t xml:space="preserve">застосовується метод усередненої вартості: пропонується одна фіксована ціна за 1 </w:t>
      </w:r>
      <w:r w:rsidR="00DE32F9" w:rsidRPr="00A01148">
        <w:rPr>
          <w:i/>
          <w:iCs/>
          <w:sz w:val="22"/>
          <w:szCs w:val="22"/>
          <w:lang w:val="uk-UA"/>
        </w:rPr>
        <w:t>виїзд команди Виконавця</w:t>
      </w:r>
      <w:r w:rsidR="00412CB8" w:rsidRPr="00A01148">
        <w:rPr>
          <w:i/>
          <w:iCs/>
          <w:sz w:val="22"/>
          <w:szCs w:val="22"/>
          <w:lang w:val="uk-UA"/>
        </w:rPr>
        <w:t xml:space="preserve"> </w:t>
      </w:r>
      <w:r w:rsidR="006163D4" w:rsidRPr="00A01148">
        <w:rPr>
          <w:i/>
          <w:iCs/>
          <w:sz w:val="22"/>
          <w:szCs w:val="22"/>
          <w:lang w:val="uk-UA"/>
        </w:rPr>
        <w:t>для тестування методології</w:t>
      </w:r>
      <w:r w:rsidR="00412CB8" w:rsidRPr="00A01148">
        <w:rPr>
          <w:i/>
          <w:iCs/>
          <w:sz w:val="22"/>
          <w:szCs w:val="22"/>
          <w:lang w:val="uk-UA"/>
        </w:rPr>
        <w:t xml:space="preserve"> незалежно від місця проведення</w:t>
      </w:r>
      <w:r w:rsidR="006163D4" w:rsidRPr="00A01148">
        <w:rPr>
          <w:i/>
          <w:iCs/>
          <w:sz w:val="22"/>
          <w:szCs w:val="22"/>
          <w:lang w:val="uk-UA"/>
        </w:rPr>
        <w:t xml:space="preserve">. </w:t>
      </w:r>
    </w:p>
    <w:p w14:paraId="0D423838" w14:textId="54050628" w:rsidR="00A125C8" w:rsidRPr="00C90E20" w:rsidRDefault="00E05A8E" w:rsidP="002211C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90E20">
        <w:rPr>
          <w:sz w:val="22"/>
          <w:szCs w:val="22"/>
          <w:lang w:val="uk-UA"/>
        </w:rPr>
        <w:t xml:space="preserve">Вартість адміністративних витрат Виконавця, </w:t>
      </w:r>
      <w:r w:rsidR="00A125C8" w:rsidRPr="00C90E20">
        <w:rPr>
          <w:sz w:val="22"/>
          <w:szCs w:val="22"/>
          <w:lang w:val="uk-UA"/>
        </w:rPr>
        <w:t xml:space="preserve">витрат на </w:t>
      </w:r>
      <w:r w:rsidR="00A125C8" w:rsidRPr="005E3F2F">
        <w:rPr>
          <w:sz w:val="22"/>
          <w:szCs w:val="22"/>
          <w:lang w:val="uk-UA"/>
        </w:rPr>
        <w:t>підготовк</w:t>
      </w:r>
      <w:r w:rsidR="00A125C8">
        <w:rPr>
          <w:sz w:val="22"/>
          <w:szCs w:val="22"/>
          <w:lang w:val="uk-UA"/>
        </w:rPr>
        <w:t>у</w:t>
      </w:r>
      <w:r w:rsidR="00A125C8" w:rsidRPr="005E3F2F">
        <w:rPr>
          <w:sz w:val="22"/>
          <w:szCs w:val="22"/>
          <w:lang w:val="uk-UA"/>
        </w:rPr>
        <w:t xml:space="preserve"> матеріалів, переклад документів</w:t>
      </w:r>
      <w:r w:rsidR="00A125C8" w:rsidRPr="00C90E20">
        <w:rPr>
          <w:sz w:val="22"/>
          <w:szCs w:val="22"/>
          <w:lang w:val="uk-UA"/>
        </w:rPr>
        <w:t xml:space="preserve"> </w:t>
      </w:r>
      <w:r w:rsidR="00D17DDF" w:rsidRPr="00C90E20">
        <w:rPr>
          <w:sz w:val="22"/>
          <w:szCs w:val="22"/>
          <w:lang w:val="uk-UA"/>
        </w:rPr>
        <w:t>має бути включена в цінову пропозицію.</w:t>
      </w:r>
    </w:p>
    <w:p w14:paraId="378336CF" w14:textId="77FF3CDF" w:rsidR="00E05A8E" w:rsidRPr="00C90E20" w:rsidRDefault="00EE3140" w:rsidP="00C90E20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90E20">
        <w:rPr>
          <w:sz w:val="22"/>
          <w:szCs w:val="22"/>
          <w:lang w:val="uk-UA"/>
        </w:rPr>
        <w:t>Ціна пропозиції включає всі податки, мита та інші обов’язкові платежі відповідно до законодавства України.</w:t>
      </w:r>
    </w:p>
    <w:p w14:paraId="60A44CD0" w14:textId="77777777" w:rsidR="000C5643" w:rsidRDefault="000C5643" w:rsidP="00AB108D">
      <w:pPr>
        <w:ind w:left="142" w:firstLine="284"/>
        <w:jc w:val="both"/>
        <w:rPr>
          <w:sz w:val="22"/>
          <w:szCs w:val="22"/>
          <w:lang w:val="uk-UA"/>
        </w:rPr>
      </w:pPr>
    </w:p>
    <w:p w14:paraId="561FF51A" w14:textId="77777777" w:rsidR="008A3E1B" w:rsidRPr="00CF53B0" w:rsidRDefault="008A3E1B" w:rsidP="00AB108D">
      <w:pPr>
        <w:ind w:left="142" w:firstLine="284"/>
        <w:jc w:val="both"/>
        <w:rPr>
          <w:sz w:val="22"/>
          <w:szCs w:val="22"/>
          <w:lang w:val="uk-UA"/>
        </w:rPr>
      </w:pPr>
    </w:p>
    <w:p w14:paraId="4CEF0CB0" w14:textId="77777777" w:rsidR="000C5643" w:rsidRPr="00D02CB8" w:rsidRDefault="000C5643" w:rsidP="000C5643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09C68F30" w14:textId="77777777" w:rsidR="000C5643" w:rsidRPr="00D02CB8" w:rsidRDefault="000C5643" w:rsidP="000C5643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216FD059" w14:textId="77777777" w:rsidR="000C5643" w:rsidRPr="00D02CB8" w:rsidRDefault="000C5643" w:rsidP="000C5643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5998AABE" w14:textId="77777777" w:rsidR="000C5643" w:rsidRPr="00A400D1" w:rsidRDefault="000C5643" w:rsidP="000C5643">
      <w:pPr>
        <w:textAlignment w:val="baseline"/>
        <w:rPr>
          <w:sz w:val="22"/>
          <w:szCs w:val="22"/>
          <w:lang w:val="uk-UA" w:eastAsia="uk-UA"/>
        </w:rPr>
      </w:pPr>
    </w:p>
    <w:p w14:paraId="50DB0EA5" w14:textId="77777777" w:rsidR="000C5643" w:rsidRPr="00A400D1" w:rsidRDefault="000C5643" w:rsidP="000C5643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7ECD9EB0" w14:textId="77777777" w:rsidR="000C5643" w:rsidRDefault="000C5643" w:rsidP="000C5643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7189C247" w14:textId="77777777" w:rsidR="000C5643" w:rsidRDefault="000C5643" w:rsidP="00AB108D">
      <w:pPr>
        <w:ind w:left="142" w:firstLine="284"/>
        <w:jc w:val="both"/>
        <w:rPr>
          <w:sz w:val="22"/>
          <w:szCs w:val="22"/>
          <w:lang w:val="uk-UA"/>
        </w:rPr>
      </w:pPr>
    </w:p>
    <w:sectPr w:rsidR="000C5643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560F" w14:textId="77777777" w:rsidR="007F4B7D" w:rsidRDefault="007F4B7D" w:rsidP="00B948CF">
      <w:r>
        <w:separator/>
      </w:r>
    </w:p>
  </w:endnote>
  <w:endnote w:type="continuationSeparator" w:id="0">
    <w:p w14:paraId="1439FBCC" w14:textId="77777777" w:rsidR="007F4B7D" w:rsidRDefault="007F4B7D" w:rsidP="00B948CF">
      <w:r>
        <w:continuationSeparator/>
      </w:r>
    </w:p>
  </w:endnote>
  <w:endnote w:type="continuationNotice" w:id="1">
    <w:p w14:paraId="5E0D8C36" w14:textId="77777777" w:rsidR="007F4B7D" w:rsidRDefault="007F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BDE6" w14:textId="77777777" w:rsidR="007F4B7D" w:rsidRDefault="007F4B7D" w:rsidP="00B948CF">
      <w:r>
        <w:separator/>
      </w:r>
    </w:p>
  </w:footnote>
  <w:footnote w:type="continuationSeparator" w:id="0">
    <w:p w14:paraId="23A3194E" w14:textId="77777777" w:rsidR="007F4B7D" w:rsidRDefault="007F4B7D" w:rsidP="00B948CF">
      <w:r>
        <w:continuationSeparator/>
      </w:r>
    </w:p>
  </w:footnote>
  <w:footnote w:type="continuationNotice" w:id="1">
    <w:p w14:paraId="1E09AC0E" w14:textId="77777777" w:rsidR="007F4B7D" w:rsidRDefault="007F4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8CC631"/>
    <w:multiLevelType w:val="hybridMultilevel"/>
    <w:tmpl w:val="577E04BE"/>
    <w:lvl w:ilvl="0" w:tplc="45CE72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3406AB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F5C81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67CF7A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79804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1EC69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62CD2E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BE36A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B6A4EA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E4D7E"/>
    <w:multiLevelType w:val="hybridMultilevel"/>
    <w:tmpl w:val="85B4DFE0"/>
    <w:lvl w:ilvl="0" w:tplc="3C2011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E0E42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8C896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42DB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F4C0B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6469F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8CFE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1A853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7E0867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93B07EF"/>
    <w:multiLevelType w:val="hybridMultilevel"/>
    <w:tmpl w:val="8DD22318"/>
    <w:lvl w:ilvl="0" w:tplc="C4E4D9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0BEEE3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9B0BA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F9AD46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B1C8FF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0E809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53E86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848ADF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4443C9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99B89B"/>
    <w:multiLevelType w:val="hybridMultilevel"/>
    <w:tmpl w:val="52342DEC"/>
    <w:lvl w:ilvl="0" w:tplc="3F64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C6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ED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2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7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8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C1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15F"/>
    <w:multiLevelType w:val="hybridMultilevel"/>
    <w:tmpl w:val="8D902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AB1B"/>
    <w:multiLevelType w:val="hybridMultilevel"/>
    <w:tmpl w:val="DF6CD090"/>
    <w:lvl w:ilvl="0" w:tplc="BD68C2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5AF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BB238A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8C81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6AE25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1A61D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96E36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62270D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F1CE0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9418EF"/>
    <w:multiLevelType w:val="hybridMultilevel"/>
    <w:tmpl w:val="3A3A19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29B2"/>
    <w:multiLevelType w:val="hybridMultilevel"/>
    <w:tmpl w:val="75047B6E"/>
    <w:lvl w:ilvl="0" w:tplc="D0142D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482145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D1ADD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CDCA5A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0C242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DC6294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70374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FEB4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29428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FF4F38"/>
    <w:multiLevelType w:val="hybridMultilevel"/>
    <w:tmpl w:val="4D80BB26"/>
    <w:lvl w:ilvl="0" w:tplc="13504E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56864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D2AD1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10222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116E51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61C6F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8CCFB2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6E2F8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A9E264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563F63"/>
    <w:multiLevelType w:val="hybridMultilevel"/>
    <w:tmpl w:val="822C341A"/>
    <w:lvl w:ilvl="0" w:tplc="25021B2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6B0D66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3A4C0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34AD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B926C6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1B2CA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7E85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A882CA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1AAF7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3B7BC2"/>
    <w:multiLevelType w:val="hybridMultilevel"/>
    <w:tmpl w:val="6EF675AA"/>
    <w:lvl w:ilvl="0" w:tplc="0422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9070A748">
      <w:numFmt w:val="bullet"/>
      <w:lvlText w:val="–"/>
      <w:lvlJc w:val="left"/>
      <w:pPr>
        <w:ind w:left="1361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22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C7DA6E"/>
    <w:multiLevelType w:val="hybridMultilevel"/>
    <w:tmpl w:val="EFA65514"/>
    <w:lvl w:ilvl="0" w:tplc="566037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D6C889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8249C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34A01C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99EAF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5AA4B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9E6B5F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E8EBF8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B7621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00F79E"/>
    <w:multiLevelType w:val="hybridMultilevel"/>
    <w:tmpl w:val="F9143B3A"/>
    <w:lvl w:ilvl="0" w:tplc="9DC29C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CE3E2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2885C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1C31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46108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EB651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E40CF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DED3A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B274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98362B"/>
    <w:multiLevelType w:val="hybridMultilevel"/>
    <w:tmpl w:val="7564149A"/>
    <w:lvl w:ilvl="0" w:tplc="A56EE8A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62E047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A4C8C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4EEB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33E572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078C0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28855D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F223A1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2B031C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D68F6"/>
    <w:multiLevelType w:val="hybridMultilevel"/>
    <w:tmpl w:val="94D2D2FA"/>
    <w:lvl w:ilvl="0" w:tplc="7C02D3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CC0993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C42ECD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90D6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52AEDC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7C216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9CB2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F02E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156F85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C55601"/>
    <w:multiLevelType w:val="hybridMultilevel"/>
    <w:tmpl w:val="261ECCC2"/>
    <w:lvl w:ilvl="0" w:tplc="D19E16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44212A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DF055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3AE66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D0A45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226D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FE1C1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35007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CF28A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40490910">
    <w:abstractNumId w:val="4"/>
  </w:num>
  <w:num w:numId="2" w16cid:durableId="1071852785">
    <w:abstractNumId w:val="2"/>
  </w:num>
  <w:num w:numId="3" w16cid:durableId="886719366">
    <w:abstractNumId w:val="6"/>
  </w:num>
  <w:num w:numId="4" w16cid:durableId="633679338">
    <w:abstractNumId w:val="7"/>
  </w:num>
  <w:num w:numId="5" w16cid:durableId="598562130">
    <w:abstractNumId w:val="21"/>
  </w:num>
  <w:num w:numId="6" w16cid:durableId="110633945">
    <w:abstractNumId w:val="17"/>
  </w:num>
  <w:num w:numId="7" w16cid:durableId="1249655854">
    <w:abstractNumId w:val="22"/>
  </w:num>
  <w:num w:numId="8" w16cid:durableId="1934510745">
    <w:abstractNumId w:val="3"/>
  </w:num>
  <w:num w:numId="9" w16cid:durableId="297303140">
    <w:abstractNumId w:val="5"/>
  </w:num>
  <w:num w:numId="10" w16cid:durableId="1644966553">
    <w:abstractNumId w:val="18"/>
  </w:num>
  <w:num w:numId="11" w16cid:durableId="1073161564">
    <w:abstractNumId w:val="14"/>
  </w:num>
  <w:num w:numId="12" w16cid:durableId="807822484">
    <w:abstractNumId w:val="11"/>
  </w:num>
  <w:num w:numId="13" w16cid:durableId="1187253581">
    <w:abstractNumId w:val="19"/>
  </w:num>
  <w:num w:numId="14" w16cid:durableId="490801363">
    <w:abstractNumId w:val="15"/>
  </w:num>
  <w:num w:numId="15" w16cid:durableId="1435906971">
    <w:abstractNumId w:val="13"/>
  </w:num>
  <w:num w:numId="16" w16cid:durableId="414404409">
    <w:abstractNumId w:val="24"/>
  </w:num>
  <w:num w:numId="17" w16cid:durableId="1286619788">
    <w:abstractNumId w:val="1"/>
  </w:num>
  <w:num w:numId="18" w16cid:durableId="1543402481">
    <w:abstractNumId w:val="20"/>
  </w:num>
  <w:num w:numId="19" w16cid:durableId="1707440076">
    <w:abstractNumId w:val="8"/>
  </w:num>
  <w:num w:numId="20" w16cid:durableId="599148705">
    <w:abstractNumId w:val="9"/>
  </w:num>
  <w:num w:numId="21" w16cid:durableId="1533417643">
    <w:abstractNumId w:val="23"/>
  </w:num>
  <w:num w:numId="22" w16cid:durableId="441414718">
    <w:abstractNumId w:val="10"/>
  </w:num>
  <w:num w:numId="23" w16cid:durableId="1785995764">
    <w:abstractNumId w:val="12"/>
  </w:num>
  <w:num w:numId="24" w16cid:durableId="202474459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15C32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7B6B"/>
    <w:rsid w:val="000508B1"/>
    <w:rsid w:val="00050974"/>
    <w:rsid w:val="00052B37"/>
    <w:rsid w:val="000538A3"/>
    <w:rsid w:val="00054EDE"/>
    <w:rsid w:val="000603FB"/>
    <w:rsid w:val="00060960"/>
    <w:rsid w:val="00062D25"/>
    <w:rsid w:val="00064B0C"/>
    <w:rsid w:val="00071374"/>
    <w:rsid w:val="0007172A"/>
    <w:rsid w:val="000732F3"/>
    <w:rsid w:val="00073AB7"/>
    <w:rsid w:val="00077005"/>
    <w:rsid w:val="00077FB7"/>
    <w:rsid w:val="00081F27"/>
    <w:rsid w:val="00082584"/>
    <w:rsid w:val="00082C4A"/>
    <w:rsid w:val="00084AA2"/>
    <w:rsid w:val="00084C66"/>
    <w:rsid w:val="00084F62"/>
    <w:rsid w:val="000855B0"/>
    <w:rsid w:val="0008644B"/>
    <w:rsid w:val="00091F2F"/>
    <w:rsid w:val="00093320"/>
    <w:rsid w:val="00093E7E"/>
    <w:rsid w:val="00094E16"/>
    <w:rsid w:val="00095082"/>
    <w:rsid w:val="00097ABD"/>
    <w:rsid w:val="00097EC1"/>
    <w:rsid w:val="00097F19"/>
    <w:rsid w:val="000A14F8"/>
    <w:rsid w:val="000A1CC2"/>
    <w:rsid w:val="000A35E3"/>
    <w:rsid w:val="000A5180"/>
    <w:rsid w:val="000A60E0"/>
    <w:rsid w:val="000A7594"/>
    <w:rsid w:val="000A7B71"/>
    <w:rsid w:val="000B122B"/>
    <w:rsid w:val="000B129C"/>
    <w:rsid w:val="000B416B"/>
    <w:rsid w:val="000B4245"/>
    <w:rsid w:val="000B48D8"/>
    <w:rsid w:val="000C0060"/>
    <w:rsid w:val="000C154A"/>
    <w:rsid w:val="000C2715"/>
    <w:rsid w:val="000C4518"/>
    <w:rsid w:val="000C5348"/>
    <w:rsid w:val="000C5643"/>
    <w:rsid w:val="000C5788"/>
    <w:rsid w:val="000C59B4"/>
    <w:rsid w:val="000C5D97"/>
    <w:rsid w:val="000C6499"/>
    <w:rsid w:val="000C7EC4"/>
    <w:rsid w:val="000D0DD0"/>
    <w:rsid w:val="000D247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228D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2A6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07E37"/>
    <w:rsid w:val="00210CE8"/>
    <w:rsid w:val="002113A3"/>
    <w:rsid w:val="00211859"/>
    <w:rsid w:val="00212F9F"/>
    <w:rsid w:val="002144F0"/>
    <w:rsid w:val="002174C2"/>
    <w:rsid w:val="002211CE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3F24"/>
    <w:rsid w:val="00264552"/>
    <w:rsid w:val="00264A83"/>
    <w:rsid w:val="00266926"/>
    <w:rsid w:val="00267116"/>
    <w:rsid w:val="00270DD2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87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4791"/>
    <w:rsid w:val="002D65B5"/>
    <w:rsid w:val="002D65FA"/>
    <w:rsid w:val="002D7982"/>
    <w:rsid w:val="002E29E8"/>
    <w:rsid w:val="002E3A4F"/>
    <w:rsid w:val="002E413A"/>
    <w:rsid w:val="002E77B4"/>
    <w:rsid w:val="002F2989"/>
    <w:rsid w:val="002F2A41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3E8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B9D"/>
    <w:rsid w:val="00344C51"/>
    <w:rsid w:val="00345290"/>
    <w:rsid w:val="00345379"/>
    <w:rsid w:val="00345ABF"/>
    <w:rsid w:val="00347862"/>
    <w:rsid w:val="00347A20"/>
    <w:rsid w:val="003503D1"/>
    <w:rsid w:val="00352784"/>
    <w:rsid w:val="003531E2"/>
    <w:rsid w:val="00354949"/>
    <w:rsid w:val="00354C72"/>
    <w:rsid w:val="00360927"/>
    <w:rsid w:val="003615FF"/>
    <w:rsid w:val="00365375"/>
    <w:rsid w:val="00365B12"/>
    <w:rsid w:val="00370791"/>
    <w:rsid w:val="00370E6C"/>
    <w:rsid w:val="00372412"/>
    <w:rsid w:val="0037547F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708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5FE4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352"/>
    <w:rsid w:val="003F7642"/>
    <w:rsid w:val="0040132F"/>
    <w:rsid w:val="00401753"/>
    <w:rsid w:val="00405840"/>
    <w:rsid w:val="00407051"/>
    <w:rsid w:val="00407D9A"/>
    <w:rsid w:val="00412CB8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53FD"/>
    <w:rsid w:val="004365F3"/>
    <w:rsid w:val="00437323"/>
    <w:rsid w:val="00437541"/>
    <w:rsid w:val="00437D51"/>
    <w:rsid w:val="004427AF"/>
    <w:rsid w:val="00443F69"/>
    <w:rsid w:val="004501F2"/>
    <w:rsid w:val="00451C79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159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DD9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3A5"/>
    <w:rsid w:val="00534905"/>
    <w:rsid w:val="00534B82"/>
    <w:rsid w:val="0053593D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0675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96727"/>
    <w:rsid w:val="005A2F73"/>
    <w:rsid w:val="005A5EA1"/>
    <w:rsid w:val="005A5F8A"/>
    <w:rsid w:val="005A67E2"/>
    <w:rsid w:val="005B0F63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BB6"/>
    <w:rsid w:val="005D1C87"/>
    <w:rsid w:val="005D40DA"/>
    <w:rsid w:val="005D4A11"/>
    <w:rsid w:val="005D5893"/>
    <w:rsid w:val="005D60A6"/>
    <w:rsid w:val="005D7932"/>
    <w:rsid w:val="005E028D"/>
    <w:rsid w:val="005E3F2F"/>
    <w:rsid w:val="005E4AA2"/>
    <w:rsid w:val="005E4B0D"/>
    <w:rsid w:val="005E705D"/>
    <w:rsid w:val="005F0064"/>
    <w:rsid w:val="005F1645"/>
    <w:rsid w:val="005F61DA"/>
    <w:rsid w:val="00604420"/>
    <w:rsid w:val="00605C06"/>
    <w:rsid w:val="00606075"/>
    <w:rsid w:val="006061A4"/>
    <w:rsid w:val="006077CE"/>
    <w:rsid w:val="0061250E"/>
    <w:rsid w:val="00612B0A"/>
    <w:rsid w:val="00613AA9"/>
    <w:rsid w:val="00614161"/>
    <w:rsid w:val="00614E7A"/>
    <w:rsid w:val="006163D4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0B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3402"/>
    <w:rsid w:val="00677FF7"/>
    <w:rsid w:val="006827AF"/>
    <w:rsid w:val="00684369"/>
    <w:rsid w:val="00686528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51C"/>
    <w:rsid w:val="006E2DC6"/>
    <w:rsid w:val="006E55DD"/>
    <w:rsid w:val="006E7BF0"/>
    <w:rsid w:val="006F07C6"/>
    <w:rsid w:val="006F482D"/>
    <w:rsid w:val="006F48A8"/>
    <w:rsid w:val="006F5D1D"/>
    <w:rsid w:val="006F670C"/>
    <w:rsid w:val="0070000F"/>
    <w:rsid w:val="007001F1"/>
    <w:rsid w:val="00700CFE"/>
    <w:rsid w:val="007014FA"/>
    <w:rsid w:val="00701577"/>
    <w:rsid w:val="007043DE"/>
    <w:rsid w:val="00705999"/>
    <w:rsid w:val="007068B0"/>
    <w:rsid w:val="00710153"/>
    <w:rsid w:val="00711EA4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51B"/>
    <w:rsid w:val="00731607"/>
    <w:rsid w:val="007325F2"/>
    <w:rsid w:val="00735590"/>
    <w:rsid w:val="00737698"/>
    <w:rsid w:val="00740F24"/>
    <w:rsid w:val="007417F7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05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27B8"/>
    <w:rsid w:val="007C4F94"/>
    <w:rsid w:val="007C501A"/>
    <w:rsid w:val="007C5BE1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A8A"/>
    <w:rsid w:val="007F2B4D"/>
    <w:rsid w:val="007F4B7D"/>
    <w:rsid w:val="007F4E62"/>
    <w:rsid w:val="007F4FAA"/>
    <w:rsid w:val="007F5E9B"/>
    <w:rsid w:val="007F7B82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384A"/>
    <w:rsid w:val="00875E2E"/>
    <w:rsid w:val="00876108"/>
    <w:rsid w:val="008810A2"/>
    <w:rsid w:val="008838DD"/>
    <w:rsid w:val="00886B9C"/>
    <w:rsid w:val="00887059"/>
    <w:rsid w:val="00887316"/>
    <w:rsid w:val="00891401"/>
    <w:rsid w:val="008920EF"/>
    <w:rsid w:val="008971CE"/>
    <w:rsid w:val="008A1D0A"/>
    <w:rsid w:val="008A2C73"/>
    <w:rsid w:val="008A3E1B"/>
    <w:rsid w:val="008A43A0"/>
    <w:rsid w:val="008A7FFD"/>
    <w:rsid w:val="008B1875"/>
    <w:rsid w:val="008B1CFA"/>
    <w:rsid w:val="008B1F49"/>
    <w:rsid w:val="008B23EF"/>
    <w:rsid w:val="008B28DC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1673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2963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269A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1A7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0F4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786C"/>
    <w:rsid w:val="009C07FC"/>
    <w:rsid w:val="009C1BC8"/>
    <w:rsid w:val="009C389A"/>
    <w:rsid w:val="009C3D48"/>
    <w:rsid w:val="009C6697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3B7"/>
    <w:rsid w:val="009F76B8"/>
    <w:rsid w:val="00A01148"/>
    <w:rsid w:val="00A04F02"/>
    <w:rsid w:val="00A07B0B"/>
    <w:rsid w:val="00A116E6"/>
    <w:rsid w:val="00A125C8"/>
    <w:rsid w:val="00A12DE6"/>
    <w:rsid w:val="00A13694"/>
    <w:rsid w:val="00A13E25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594A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80F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402C"/>
    <w:rsid w:val="00AA5319"/>
    <w:rsid w:val="00AA5DA2"/>
    <w:rsid w:val="00AA7CC9"/>
    <w:rsid w:val="00AB0F07"/>
    <w:rsid w:val="00AB108D"/>
    <w:rsid w:val="00AB321F"/>
    <w:rsid w:val="00AB48B7"/>
    <w:rsid w:val="00AB5249"/>
    <w:rsid w:val="00AB6214"/>
    <w:rsid w:val="00AC1603"/>
    <w:rsid w:val="00AC18AC"/>
    <w:rsid w:val="00AC3441"/>
    <w:rsid w:val="00AC565A"/>
    <w:rsid w:val="00AD0ED0"/>
    <w:rsid w:val="00AD1CB2"/>
    <w:rsid w:val="00AD29D5"/>
    <w:rsid w:val="00AD3B5F"/>
    <w:rsid w:val="00AD44EA"/>
    <w:rsid w:val="00AD6887"/>
    <w:rsid w:val="00AD6D3B"/>
    <w:rsid w:val="00AD7DCC"/>
    <w:rsid w:val="00AE0121"/>
    <w:rsid w:val="00AE0459"/>
    <w:rsid w:val="00AE098F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0CE8"/>
    <w:rsid w:val="00B11D8B"/>
    <w:rsid w:val="00B12EC7"/>
    <w:rsid w:val="00B1350E"/>
    <w:rsid w:val="00B14636"/>
    <w:rsid w:val="00B14ABB"/>
    <w:rsid w:val="00B207B4"/>
    <w:rsid w:val="00B2327F"/>
    <w:rsid w:val="00B238C9"/>
    <w:rsid w:val="00B24579"/>
    <w:rsid w:val="00B245C9"/>
    <w:rsid w:val="00B257B6"/>
    <w:rsid w:val="00B25D5F"/>
    <w:rsid w:val="00B2681F"/>
    <w:rsid w:val="00B268F3"/>
    <w:rsid w:val="00B27389"/>
    <w:rsid w:val="00B27391"/>
    <w:rsid w:val="00B27870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137C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87F3E"/>
    <w:rsid w:val="00B90512"/>
    <w:rsid w:val="00B917AA"/>
    <w:rsid w:val="00B93C90"/>
    <w:rsid w:val="00B946C1"/>
    <w:rsid w:val="00B948CF"/>
    <w:rsid w:val="00B9527B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6FA"/>
    <w:rsid w:val="00BB7CC4"/>
    <w:rsid w:val="00BB7FB4"/>
    <w:rsid w:val="00BC0E85"/>
    <w:rsid w:val="00BC13F3"/>
    <w:rsid w:val="00BC3CF2"/>
    <w:rsid w:val="00BC7172"/>
    <w:rsid w:val="00BD0AE0"/>
    <w:rsid w:val="00BD0B5E"/>
    <w:rsid w:val="00BD1284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17F64"/>
    <w:rsid w:val="00C20F20"/>
    <w:rsid w:val="00C210BB"/>
    <w:rsid w:val="00C212B9"/>
    <w:rsid w:val="00C22538"/>
    <w:rsid w:val="00C23604"/>
    <w:rsid w:val="00C2564E"/>
    <w:rsid w:val="00C26C0D"/>
    <w:rsid w:val="00C3043F"/>
    <w:rsid w:val="00C31377"/>
    <w:rsid w:val="00C3211C"/>
    <w:rsid w:val="00C3357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E69"/>
    <w:rsid w:val="00C51B40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44E0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0E20"/>
    <w:rsid w:val="00C93350"/>
    <w:rsid w:val="00C9414F"/>
    <w:rsid w:val="00C96787"/>
    <w:rsid w:val="00C97732"/>
    <w:rsid w:val="00CA01F3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3B0"/>
    <w:rsid w:val="00CF55A7"/>
    <w:rsid w:val="00CF752C"/>
    <w:rsid w:val="00CF79D6"/>
    <w:rsid w:val="00CF7A97"/>
    <w:rsid w:val="00D00279"/>
    <w:rsid w:val="00D00E47"/>
    <w:rsid w:val="00D02CB8"/>
    <w:rsid w:val="00D03250"/>
    <w:rsid w:val="00D03BC9"/>
    <w:rsid w:val="00D045AC"/>
    <w:rsid w:val="00D0502A"/>
    <w:rsid w:val="00D05DF2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7DDF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4C22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7232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32F9"/>
    <w:rsid w:val="00DE60B6"/>
    <w:rsid w:val="00DE6CDC"/>
    <w:rsid w:val="00DF07E5"/>
    <w:rsid w:val="00DF671B"/>
    <w:rsid w:val="00DF7808"/>
    <w:rsid w:val="00E00D9C"/>
    <w:rsid w:val="00E0333D"/>
    <w:rsid w:val="00E0386B"/>
    <w:rsid w:val="00E05A8E"/>
    <w:rsid w:val="00E0693B"/>
    <w:rsid w:val="00E115C4"/>
    <w:rsid w:val="00E11BE8"/>
    <w:rsid w:val="00E12363"/>
    <w:rsid w:val="00E12786"/>
    <w:rsid w:val="00E16782"/>
    <w:rsid w:val="00E20EEF"/>
    <w:rsid w:val="00E21051"/>
    <w:rsid w:val="00E23FA7"/>
    <w:rsid w:val="00E25925"/>
    <w:rsid w:val="00E260CB"/>
    <w:rsid w:val="00E26A90"/>
    <w:rsid w:val="00E27238"/>
    <w:rsid w:val="00E27AFC"/>
    <w:rsid w:val="00E344E4"/>
    <w:rsid w:val="00E370BE"/>
    <w:rsid w:val="00E37D52"/>
    <w:rsid w:val="00E37FCD"/>
    <w:rsid w:val="00E40717"/>
    <w:rsid w:val="00E44888"/>
    <w:rsid w:val="00E44DA4"/>
    <w:rsid w:val="00E4561B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191E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1BE1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4BF6"/>
    <w:rsid w:val="00EC678B"/>
    <w:rsid w:val="00EC6B60"/>
    <w:rsid w:val="00ED10AD"/>
    <w:rsid w:val="00ED3326"/>
    <w:rsid w:val="00ED39FF"/>
    <w:rsid w:val="00EE3140"/>
    <w:rsid w:val="00EE3959"/>
    <w:rsid w:val="00EE47D6"/>
    <w:rsid w:val="00EE5CC8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05665"/>
    <w:rsid w:val="00F0697E"/>
    <w:rsid w:val="00F10CE2"/>
    <w:rsid w:val="00F11549"/>
    <w:rsid w:val="00F14814"/>
    <w:rsid w:val="00F14995"/>
    <w:rsid w:val="00F15BCA"/>
    <w:rsid w:val="00F1660B"/>
    <w:rsid w:val="00F16C1D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26D4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444"/>
    <w:rsid w:val="00F715FD"/>
    <w:rsid w:val="00F73140"/>
    <w:rsid w:val="00F75F0B"/>
    <w:rsid w:val="00F7649E"/>
    <w:rsid w:val="00F81356"/>
    <w:rsid w:val="00F8137B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3C4D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4F93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38917C72-C5F0-4F5B-90AD-489D16A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F53B0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ru-RU" w:eastAsia="ru-RU"/>
    </w:rPr>
  </w:style>
  <w:style w:type="character" w:customStyle="1" w:styleId="af0">
    <w:name w:val="Абзац списку Знак"/>
    <w:basedOn w:val="a0"/>
    <w:link w:val="af"/>
    <w:uiPriority w:val="34"/>
    <w:rsid w:val="00E05A8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23259</Words>
  <Characters>13258</Characters>
  <Application>Microsoft Office Word</Application>
  <DocSecurity>0</DocSecurity>
  <Lines>110</Lines>
  <Paragraphs>72</Paragraphs>
  <ScaleCrop>false</ScaleCrop>
  <Company>AUN of PLWH</Company>
  <LinksUpToDate>false</LinksUpToDate>
  <CharactersWithSpaces>36445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160</cp:revision>
  <cp:lastPrinted>2023-12-29T18:52:00Z</cp:lastPrinted>
  <dcterms:created xsi:type="dcterms:W3CDTF">2024-10-29T19:58:00Z</dcterms:created>
  <dcterms:modified xsi:type="dcterms:W3CDTF">2025-07-30T11:10:00Z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