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3406" w14:textId="77777777" w:rsidR="0034250A" w:rsidRDefault="008A1D0A" w:rsidP="12D141A8">
      <w:pPr>
        <w:tabs>
          <w:tab w:val="left" w:pos="840"/>
          <w:tab w:val="right" w:pos="9900"/>
        </w:tabs>
        <w:rPr>
          <w:b/>
          <w:bCs/>
          <w:sz w:val="22"/>
          <w:szCs w:val="22"/>
          <w:lang w:val="uk-UA"/>
        </w:rPr>
      </w:pPr>
      <w:r w:rsidRPr="12D141A8">
        <w:rPr>
          <w:b/>
          <w:bCs/>
          <w:sz w:val="22"/>
          <w:szCs w:val="22"/>
        </w:rPr>
        <w:t>м. Київ</w:t>
      </w:r>
      <w:r>
        <w:tab/>
      </w:r>
      <w:r w:rsidRPr="12D141A8">
        <w:rPr>
          <w:b/>
          <w:bCs/>
          <w:sz w:val="22"/>
          <w:szCs w:val="22"/>
        </w:rPr>
        <w:t xml:space="preserve"> </w:t>
      </w:r>
      <w:r>
        <w:tab/>
      </w:r>
      <w:r w:rsidR="005A5F8A" w:rsidRPr="0034250A">
        <w:rPr>
          <w:b/>
          <w:bCs/>
          <w:strike/>
          <w:color w:val="FF0000"/>
          <w:sz w:val="22"/>
          <w:szCs w:val="22"/>
        </w:rPr>
        <w:t>«</w:t>
      </w:r>
      <w:r w:rsidR="005654F4" w:rsidRPr="0034250A">
        <w:rPr>
          <w:b/>
          <w:bCs/>
          <w:strike/>
          <w:color w:val="FF0000"/>
          <w:sz w:val="22"/>
          <w:szCs w:val="22"/>
          <w:lang w:val="uk-UA"/>
        </w:rPr>
        <w:t>08</w:t>
      </w:r>
      <w:r w:rsidR="005A5F8A" w:rsidRPr="0034250A">
        <w:rPr>
          <w:b/>
          <w:bCs/>
          <w:strike/>
          <w:color w:val="FF0000"/>
          <w:sz w:val="22"/>
          <w:szCs w:val="22"/>
        </w:rPr>
        <w:t xml:space="preserve">» </w:t>
      </w:r>
      <w:r w:rsidR="00DB778A" w:rsidRPr="0034250A">
        <w:rPr>
          <w:b/>
          <w:bCs/>
          <w:strike/>
          <w:color w:val="FF0000"/>
          <w:sz w:val="22"/>
          <w:szCs w:val="22"/>
          <w:lang w:val="uk-UA"/>
        </w:rPr>
        <w:t>квітня</w:t>
      </w:r>
      <w:r w:rsidR="005A5F8A" w:rsidRPr="0034250A">
        <w:rPr>
          <w:b/>
          <w:bCs/>
          <w:strike/>
          <w:color w:val="FF0000"/>
          <w:sz w:val="22"/>
          <w:szCs w:val="22"/>
        </w:rPr>
        <w:t xml:space="preserve"> 202</w:t>
      </w:r>
      <w:r w:rsidR="00DB778A" w:rsidRPr="0034250A">
        <w:rPr>
          <w:b/>
          <w:bCs/>
          <w:strike/>
          <w:color w:val="FF0000"/>
          <w:sz w:val="22"/>
          <w:szCs w:val="22"/>
          <w:lang w:val="uk-UA"/>
        </w:rPr>
        <w:t>5</w:t>
      </w:r>
      <w:r w:rsidR="005A5F8A" w:rsidRPr="0034250A">
        <w:rPr>
          <w:b/>
          <w:bCs/>
          <w:strike/>
          <w:color w:val="FF0000"/>
          <w:sz w:val="22"/>
          <w:szCs w:val="22"/>
        </w:rPr>
        <w:t xml:space="preserve"> р.</w:t>
      </w:r>
      <w:r w:rsidR="00AB5249" w:rsidRPr="0034250A">
        <w:rPr>
          <w:b/>
          <w:bCs/>
          <w:color w:val="FF0000"/>
          <w:sz w:val="22"/>
          <w:szCs w:val="22"/>
        </w:rPr>
        <w:t xml:space="preserve">  </w:t>
      </w:r>
    </w:p>
    <w:p w14:paraId="1C84A642" w14:textId="23696C41" w:rsidR="00370B5F" w:rsidRDefault="0034250A" w:rsidP="0034250A">
      <w:pPr>
        <w:tabs>
          <w:tab w:val="left" w:pos="840"/>
          <w:tab w:val="right" w:pos="9900"/>
        </w:tabs>
        <w:jc w:val="center"/>
        <w:rPr>
          <w:b/>
          <w:bCs/>
          <w:sz w:val="22"/>
          <w:szCs w:val="22"/>
          <w:lang w:val="uk-UA"/>
        </w:rPr>
      </w:pPr>
      <w:r>
        <w:rPr>
          <w:b/>
          <w:bCs/>
          <w:sz w:val="22"/>
          <w:szCs w:val="22"/>
          <w:lang w:val="uk-UA"/>
        </w:rPr>
        <w:t xml:space="preserve">                                                     </w:t>
      </w:r>
      <w:r w:rsidR="00370B5F">
        <w:rPr>
          <w:b/>
          <w:bCs/>
          <w:sz w:val="22"/>
          <w:szCs w:val="22"/>
          <w:lang w:val="uk-UA"/>
        </w:rPr>
        <w:t xml:space="preserve">                                                                                        </w:t>
      </w:r>
      <w:r>
        <w:rPr>
          <w:b/>
          <w:bCs/>
          <w:sz w:val="22"/>
          <w:szCs w:val="22"/>
          <w:lang w:val="uk-UA"/>
        </w:rPr>
        <w:t xml:space="preserve"> </w:t>
      </w:r>
      <w:r w:rsidR="00370B5F">
        <w:rPr>
          <w:b/>
          <w:bCs/>
          <w:sz w:val="22"/>
          <w:szCs w:val="22"/>
          <w:lang w:val="uk-UA"/>
        </w:rPr>
        <w:t>«23» квітня 2025 р.</w:t>
      </w:r>
      <w:r>
        <w:rPr>
          <w:b/>
          <w:bCs/>
          <w:sz w:val="22"/>
          <w:szCs w:val="22"/>
          <w:lang w:val="uk-UA"/>
        </w:rPr>
        <w:t xml:space="preserve">                              </w:t>
      </w:r>
    </w:p>
    <w:p w14:paraId="7B65C476" w14:textId="1EF834B1"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D05F9B">
        <w:rPr>
          <w:b/>
          <w:bCs/>
          <w:sz w:val="22"/>
          <w:szCs w:val="22"/>
          <w:lang w:val="uk-UA"/>
        </w:rPr>
        <w:t>_</w:t>
      </w:r>
      <w:r w:rsidR="00DB778A">
        <w:rPr>
          <w:b/>
          <w:bCs/>
          <w:sz w:val="22"/>
          <w:szCs w:val="22"/>
          <w:lang w:val="uk-UA"/>
        </w:rPr>
        <w:t>1881</w:t>
      </w:r>
      <w:r w:rsidR="00D05F9B">
        <w:rPr>
          <w:b/>
          <w:bCs/>
          <w:sz w:val="22"/>
          <w:szCs w:val="22"/>
          <w:lang w:val="uk-UA"/>
        </w:rPr>
        <w:t>ОК</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8F6982D" w14:textId="04368F71" w:rsidR="00B54363" w:rsidRPr="006C7714" w:rsidRDefault="004C2787" w:rsidP="006C7714">
      <w:pPr>
        <w:ind w:right="-306" w:firstLine="567"/>
        <w:jc w:val="both"/>
        <w:rPr>
          <w:bCs/>
          <w:spacing w:val="-6"/>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34250A">
        <w:rPr>
          <w:spacing w:val="-4"/>
          <w:sz w:val="22"/>
          <w:szCs w:val="22"/>
          <w:lang w:val="uk-UA"/>
        </w:rPr>
        <w:t xml:space="preserve">про продовження </w:t>
      </w:r>
      <w:r w:rsidRPr="00CC3C4F">
        <w:rPr>
          <w:bCs/>
          <w:spacing w:val="-6"/>
          <w:sz w:val="22"/>
          <w:szCs w:val="22"/>
          <w:lang w:val="uk-UA"/>
        </w:rPr>
        <w:t>тендер</w:t>
      </w:r>
      <w:r w:rsidR="0034250A">
        <w:rPr>
          <w:bCs/>
          <w:spacing w:val="-6"/>
          <w:sz w:val="22"/>
          <w:szCs w:val="22"/>
          <w:lang w:val="uk-UA"/>
        </w:rPr>
        <w:t>у</w:t>
      </w:r>
      <w:r w:rsidRPr="00CC3C4F">
        <w:rPr>
          <w:bCs/>
          <w:spacing w:val="-6"/>
          <w:sz w:val="22"/>
          <w:szCs w:val="22"/>
          <w:lang w:val="uk-UA"/>
        </w:rPr>
        <w:t xml:space="preserve"> на </w:t>
      </w:r>
      <w:r w:rsidR="00FF270D" w:rsidRPr="00CC3C4F">
        <w:rPr>
          <w:bCs/>
          <w:spacing w:val="-6"/>
          <w:sz w:val="22"/>
          <w:szCs w:val="22"/>
          <w:lang w:val="uk-UA"/>
        </w:rPr>
        <w:t xml:space="preserve">закупівлю </w:t>
      </w:r>
      <w:r w:rsidR="00F3456C" w:rsidRPr="00CC3C4F">
        <w:rPr>
          <w:bCs/>
          <w:spacing w:val="-6"/>
          <w:sz w:val="22"/>
          <w:szCs w:val="22"/>
          <w:lang w:val="uk-UA"/>
        </w:rPr>
        <w:t xml:space="preserve">послуг з </w:t>
      </w:r>
      <w:r w:rsidR="00AC5095" w:rsidRPr="00CC3C4F">
        <w:rPr>
          <w:bCs/>
          <w:spacing w:val="-6"/>
          <w:sz w:val="22"/>
          <w:szCs w:val="22"/>
          <w:lang w:val="uk-UA"/>
        </w:rPr>
        <w:t>оцінки основних засобів</w:t>
      </w:r>
      <w:r w:rsidR="006F482D" w:rsidRPr="00CC3C4F">
        <w:rPr>
          <w:bCs/>
          <w:spacing w:val="-6"/>
          <w:sz w:val="22"/>
          <w:szCs w:val="22"/>
          <w:lang w:val="uk-UA"/>
        </w:rPr>
        <w:t>.</w:t>
      </w:r>
      <w:r w:rsidR="00157544" w:rsidRPr="00CC3C4F">
        <w:rPr>
          <w:bCs/>
          <w:spacing w:val="-6"/>
          <w:sz w:val="22"/>
          <w:szCs w:val="22"/>
          <w:lang w:val="uk-UA"/>
        </w:rPr>
        <w:t xml:space="preserve"> </w:t>
      </w:r>
      <w:r w:rsidR="000B48D8" w:rsidRPr="00CC3C4F">
        <w:rPr>
          <w:bCs/>
          <w:spacing w:val="-6"/>
          <w:sz w:val="22"/>
          <w:szCs w:val="22"/>
          <w:lang w:val="uk-UA"/>
        </w:rPr>
        <w:t xml:space="preserve"> </w:t>
      </w: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714"/>
        <w:gridCol w:w="1559"/>
        <w:gridCol w:w="3515"/>
      </w:tblGrid>
      <w:tr w:rsidR="004C2787" w:rsidRPr="000B48D8" w14:paraId="56DE4E59" w14:textId="77777777" w:rsidTr="00CC3C4F">
        <w:trPr>
          <w:trHeight w:val="275"/>
        </w:trPr>
        <w:tc>
          <w:tcPr>
            <w:tcW w:w="432"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714"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559"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515"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C87BE2" w:rsidRPr="000B48D8" w14:paraId="0F594BD0" w14:textId="77777777" w:rsidTr="00CC3C4F">
        <w:trPr>
          <w:trHeight w:val="277"/>
        </w:trPr>
        <w:tc>
          <w:tcPr>
            <w:tcW w:w="432" w:type="dxa"/>
            <w:vAlign w:val="center"/>
          </w:tcPr>
          <w:p w14:paraId="29708A12" w14:textId="2C2E27D3" w:rsidR="00C87BE2" w:rsidRPr="00C87BE2" w:rsidRDefault="00C87BE2" w:rsidP="00C87BE2">
            <w:pPr>
              <w:rPr>
                <w:spacing w:val="-6"/>
                <w:sz w:val="22"/>
                <w:szCs w:val="22"/>
                <w:lang w:val="uk-UA"/>
              </w:rPr>
            </w:pPr>
            <w:r w:rsidRPr="00C87BE2">
              <w:rPr>
                <w:b/>
                <w:bCs/>
                <w:spacing w:val="-6"/>
                <w:sz w:val="22"/>
                <w:szCs w:val="22"/>
                <w:lang w:val="uk-UA"/>
              </w:rPr>
              <w:t>1</w:t>
            </w:r>
          </w:p>
        </w:tc>
        <w:tc>
          <w:tcPr>
            <w:tcW w:w="4714" w:type="dxa"/>
            <w:shd w:val="clear" w:color="auto" w:fill="auto"/>
            <w:vAlign w:val="center"/>
          </w:tcPr>
          <w:p w14:paraId="5D6D90EE" w14:textId="4CEB3D53" w:rsidR="00C87BE2" w:rsidRPr="00CC3C4F" w:rsidRDefault="00CC3C4F" w:rsidP="00CC3C4F">
            <w:pPr>
              <w:ind w:right="36"/>
              <w:jc w:val="both"/>
              <w:rPr>
                <w:bCs/>
                <w:spacing w:val="-6"/>
                <w:sz w:val="22"/>
                <w:szCs w:val="22"/>
                <w:lang w:val="uk-UA"/>
              </w:rPr>
            </w:pPr>
            <w:r w:rsidRPr="00CC3C4F">
              <w:rPr>
                <w:bCs/>
                <w:spacing w:val="-6"/>
                <w:sz w:val="22"/>
                <w:szCs w:val="22"/>
                <w:lang w:val="uk-UA"/>
              </w:rPr>
              <w:t xml:space="preserve">Послуга з оцінки основних засобів (визначення доцільної собівартості  Г6-Г8Б   МСФЗ 1).  </w:t>
            </w:r>
          </w:p>
        </w:tc>
        <w:tc>
          <w:tcPr>
            <w:tcW w:w="1559" w:type="dxa"/>
            <w:shd w:val="clear" w:color="auto" w:fill="auto"/>
            <w:vAlign w:val="center"/>
          </w:tcPr>
          <w:p w14:paraId="4F5DE3BC" w14:textId="5825E972" w:rsidR="00C87BE2" w:rsidRPr="0068315F" w:rsidRDefault="0001609C" w:rsidP="00C87BE2">
            <w:pPr>
              <w:ind w:right="-5" w:hanging="104"/>
              <w:jc w:val="center"/>
              <w:rPr>
                <w:bCs/>
                <w:spacing w:val="-6"/>
                <w:sz w:val="22"/>
                <w:szCs w:val="22"/>
                <w:lang w:val="uk-UA"/>
              </w:rPr>
            </w:pPr>
            <w:r>
              <w:rPr>
                <w:bCs/>
                <w:spacing w:val="-6"/>
                <w:sz w:val="22"/>
                <w:szCs w:val="22"/>
                <w:lang w:val="uk-UA"/>
              </w:rPr>
              <w:t>1 послуга</w:t>
            </w:r>
          </w:p>
        </w:tc>
        <w:tc>
          <w:tcPr>
            <w:tcW w:w="3515" w:type="dxa"/>
            <w:shd w:val="clear" w:color="auto" w:fill="auto"/>
            <w:vAlign w:val="center"/>
          </w:tcPr>
          <w:p w14:paraId="5FF68500" w14:textId="122C6EB6" w:rsidR="00C87BE2" w:rsidRPr="00D95A0C" w:rsidRDefault="0068315F" w:rsidP="00C87BE2">
            <w:pPr>
              <w:ind w:right="-5"/>
              <w:jc w:val="center"/>
              <w:rPr>
                <w:bCs/>
                <w:spacing w:val="-6"/>
                <w:sz w:val="22"/>
                <w:szCs w:val="22"/>
                <w:lang w:val="uk-UA"/>
              </w:rPr>
            </w:pPr>
            <w:r w:rsidRPr="00D95A0C">
              <w:rPr>
                <w:bCs/>
                <w:spacing w:val="-6"/>
                <w:sz w:val="22"/>
                <w:szCs w:val="22"/>
                <w:lang w:val="uk-UA"/>
              </w:rPr>
              <w:t xml:space="preserve">Інформація вказана в Додатку № 2 та Додатку № 3 до Запиту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AD40EB9" w14:textId="163DC848" w:rsidR="00807E89"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2B0ADC">
        <w:rPr>
          <w:i/>
          <w:iCs/>
          <w:color w:val="000000"/>
          <w:sz w:val="20"/>
          <w:szCs w:val="20"/>
          <w:lang w:val="uk-UA" w:eastAsia="uk-UA"/>
        </w:rPr>
        <w:t>Закупівля</w:t>
      </w:r>
      <w:r w:rsidR="00133B02">
        <w:rPr>
          <w:i/>
          <w:iCs/>
          <w:color w:val="000000"/>
          <w:sz w:val="20"/>
          <w:szCs w:val="20"/>
          <w:lang w:val="uk-UA" w:eastAsia="uk-UA"/>
        </w:rPr>
        <w:t xml:space="preserve"> відбувається одним лотом</w:t>
      </w:r>
    </w:p>
    <w:p w14:paraId="43345CAC" w14:textId="77777777" w:rsidR="00807E89" w:rsidRPr="00D95A0C" w:rsidRDefault="00807E89" w:rsidP="00E62EFA">
      <w:pPr>
        <w:ind w:right="-306" w:firstLine="567"/>
        <w:jc w:val="both"/>
        <w:textAlignment w:val="baseline"/>
        <w:rPr>
          <w:i/>
          <w:iCs/>
          <w:color w:val="000000"/>
          <w:sz w:val="20"/>
          <w:szCs w:val="20"/>
          <w:lang w:val="uk-UA" w:eastAsia="uk-UA"/>
        </w:rPr>
      </w:pPr>
    </w:p>
    <w:p w14:paraId="5B31D374" w14:textId="2F5B03A2" w:rsidR="005A5F8A" w:rsidRPr="00D95A0C" w:rsidRDefault="00133B02" w:rsidP="005A5F8A">
      <w:pPr>
        <w:spacing w:before="76" w:line="250" w:lineRule="exact"/>
        <w:ind w:right="-23" w:firstLine="567"/>
        <w:jc w:val="both"/>
        <w:rPr>
          <w:b/>
          <w:sz w:val="22"/>
          <w:szCs w:val="22"/>
          <w:lang w:val="uk-UA"/>
        </w:rPr>
      </w:pPr>
      <w:r w:rsidRPr="00D95A0C">
        <w:rPr>
          <w:b/>
          <w:sz w:val="22"/>
          <w:szCs w:val="22"/>
          <w:lang w:val="uk-UA"/>
        </w:rPr>
        <w:t xml:space="preserve">Термін </w:t>
      </w:r>
      <w:r w:rsidR="005A5F8A" w:rsidRPr="00D95A0C">
        <w:rPr>
          <w:b/>
          <w:sz w:val="22"/>
          <w:szCs w:val="22"/>
          <w:lang w:val="uk-UA"/>
        </w:rPr>
        <w:t xml:space="preserve">надання послуг: </w:t>
      </w:r>
      <w:r w:rsidR="00FA0C05" w:rsidRPr="00D95A0C">
        <w:rPr>
          <w:bCs/>
          <w:sz w:val="22"/>
          <w:szCs w:val="22"/>
          <w:lang w:val="uk-UA"/>
        </w:rPr>
        <w:t>до 31.05.2025 року</w:t>
      </w:r>
      <w:r w:rsidR="005B147F" w:rsidRPr="00D95A0C">
        <w:rPr>
          <w:bCs/>
          <w:sz w:val="22"/>
          <w:szCs w:val="22"/>
          <w:lang w:val="uk-UA"/>
        </w:rPr>
        <w:t>.</w:t>
      </w:r>
    </w:p>
    <w:p w14:paraId="2189EAC6" w14:textId="1BCF7B7C" w:rsidR="000A7594" w:rsidRDefault="005A5F8A" w:rsidP="00777C00">
      <w:pPr>
        <w:spacing w:before="76" w:line="250" w:lineRule="exact"/>
        <w:ind w:right="-23" w:firstLine="567"/>
        <w:jc w:val="both"/>
        <w:rPr>
          <w:bCs/>
          <w:sz w:val="22"/>
          <w:szCs w:val="22"/>
          <w:lang w:val="uk-UA"/>
        </w:rPr>
      </w:pPr>
      <w:r w:rsidRPr="00D95A0C">
        <w:rPr>
          <w:b/>
          <w:sz w:val="22"/>
          <w:szCs w:val="22"/>
          <w:lang w:val="uk-UA"/>
        </w:rPr>
        <w:t xml:space="preserve">Місце </w:t>
      </w:r>
      <w:r w:rsidR="005B147F" w:rsidRPr="00D95A0C">
        <w:rPr>
          <w:b/>
          <w:sz w:val="22"/>
          <w:szCs w:val="22"/>
          <w:lang w:val="uk-UA"/>
        </w:rPr>
        <w:t xml:space="preserve">знаходження </w:t>
      </w:r>
      <w:r w:rsidR="0065714E" w:rsidRPr="00D95A0C">
        <w:rPr>
          <w:b/>
          <w:sz w:val="22"/>
          <w:szCs w:val="22"/>
          <w:lang w:val="uk-UA"/>
        </w:rPr>
        <w:t>Замовника</w:t>
      </w:r>
      <w:r w:rsidRPr="00D95A0C">
        <w:rPr>
          <w:b/>
          <w:sz w:val="22"/>
          <w:szCs w:val="22"/>
          <w:lang w:val="uk-UA"/>
        </w:rPr>
        <w:t>:</w:t>
      </w:r>
      <w:r w:rsidR="00937CCC" w:rsidRPr="00D95A0C">
        <w:rPr>
          <w:b/>
          <w:sz w:val="22"/>
          <w:szCs w:val="22"/>
          <w:lang w:val="uk-UA"/>
        </w:rPr>
        <w:t xml:space="preserve"> </w:t>
      </w:r>
      <w:r w:rsidR="008C783A" w:rsidRPr="00D95A0C">
        <w:t>м. Київ, вул. Ділова 3</w:t>
      </w:r>
      <w:r w:rsidR="001C3132" w:rsidRPr="00D95A0C">
        <w:rPr>
          <w:bCs/>
          <w:i/>
          <w:iCs/>
          <w:color w:val="747474"/>
          <w:sz w:val="22"/>
          <w:szCs w:val="22"/>
          <w:lang w:val="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865"/>
        <w:gridCol w:w="3641"/>
      </w:tblGrid>
      <w:tr w:rsidR="00BC13F3" w:rsidRPr="00E67971" w14:paraId="17D899A6" w14:textId="77777777" w:rsidTr="006C7714">
        <w:trPr>
          <w:trHeight w:val="76"/>
        </w:trPr>
        <w:tc>
          <w:tcPr>
            <w:tcW w:w="656" w:type="dxa"/>
          </w:tcPr>
          <w:p w14:paraId="50AE26AB" w14:textId="4677E03C"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865" w:type="dxa"/>
            <w:shd w:val="clear" w:color="auto" w:fill="auto"/>
          </w:tcPr>
          <w:p w14:paraId="67145797" w14:textId="355D8489"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641" w:type="dxa"/>
            <w:shd w:val="clear" w:color="auto" w:fill="auto"/>
          </w:tcPr>
          <w:p w14:paraId="127118FF" w14:textId="77777777"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E67971" w14:paraId="5E8B42AD" w14:textId="77777777" w:rsidTr="006C7714">
        <w:trPr>
          <w:trHeight w:val="1798"/>
        </w:trPr>
        <w:tc>
          <w:tcPr>
            <w:tcW w:w="656" w:type="dxa"/>
          </w:tcPr>
          <w:p w14:paraId="29032B01" w14:textId="2BCCDD89"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6B8B32D2" w14:textId="469DA657" w:rsidR="00BC13F3" w:rsidRPr="000B48D8" w:rsidRDefault="00BC13F3" w:rsidP="000A7594">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3641" w:type="dxa"/>
            <w:shd w:val="clear" w:color="auto" w:fill="auto"/>
          </w:tcPr>
          <w:p w14:paraId="562980FF" w14:textId="77777777" w:rsidR="00BC13F3" w:rsidRPr="000B48D8" w:rsidRDefault="00BC13F3" w:rsidP="00226DB7">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541B5D">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w:t>
            </w:r>
            <w:r w:rsidRPr="00541B5D">
              <w:rPr>
                <w:rFonts w:ascii="Times New Roman" w:hAnsi="Times New Roman" w:cs="Times New Roman"/>
                <w:b/>
                <w:bCs/>
                <w:sz w:val="22"/>
                <w:szCs w:val="22"/>
                <w:lang w:val="uk-UA"/>
              </w:rPr>
              <w:t>або 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541B5D">
              <w:rPr>
                <w:rFonts w:ascii="Times New Roman" w:hAnsi="Times New Roman" w:cs="Times New Roman"/>
                <w:b/>
                <w:bCs/>
                <w:sz w:val="22"/>
                <w:szCs w:val="22"/>
                <w:lang w:val="uk-UA"/>
              </w:rPr>
              <w:t>Витяг з Єдиного державного</w:t>
            </w:r>
            <w:r w:rsidRPr="000B48D8">
              <w:rPr>
                <w:rFonts w:ascii="Times New Roman" w:hAnsi="Times New Roman" w:cs="Times New Roman"/>
                <w:sz w:val="22"/>
                <w:szCs w:val="22"/>
                <w:lang w:val="uk-UA"/>
              </w:rPr>
              <w:t xml:space="preserve"> реєстру юридичних осіб та фізичних осіб-підприємців, в якому зазначаються основні види діяльності.</w:t>
            </w:r>
          </w:p>
          <w:p w14:paraId="4652BFD2" w14:textId="77777777" w:rsidR="00BC13F3" w:rsidRDefault="00BC13F3" w:rsidP="00226DB7">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C52E14">
              <w:rPr>
                <w:rFonts w:ascii="Times New Roman" w:hAnsi="Times New Roman" w:cs="Times New Roman"/>
                <w:b/>
                <w:bCs/>
                <w:sz w:val="22"/>
                <w:szCs w:val="22"/>
                <w:lang w:val="uk-UA"/>
              </w:rPr>
              <w:t>Копії</w:t>
            </w:r>
            <w:r w:rsidRPr="000B48D8">
              <w:rPr>
                <w:rFonts w:ascii="Times New Roman" w:hAnsi="Times New Roman" w:cs="Times New Roman"/>
                <w:sz w:val="22"/>
                <w:szCs w:val="22"/>
                <w:lang w:val="uk-UA"/>
              </w:rPr>
              <w:t xml:space="preserve"> </w:t>
            </w:r>
            <w:r w:rsidRPr="00C52E14">
              <w:rPr>
                <w:rFonts w:ascii="Times New Roman" w:hAnsi="Times New Roman" w:cs="Times New Roman"/>
                <w:b/>
                <w:bCs/>
                <w:sz w:val="22"/>
                <w:szCs w:val="22"/>
                <w:lang w:val="uk-UA"/>
              </w:rPr>
              <w:t>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p w14:paraId="1146A742" w14:textId="5484D376" w:rsidR="00370574" w:rsidRPr="00877FC4" w:rsidRDefault="00003912" w:rsidP="00226DB7">
            <w:pPr>
              <w:pStyle w:val="ab"/>
              <w:numPr>
                <w:ilvl w:val="0"/>
                <w:numId w:val="3"/>
              </w:numPr>
              <w:spacing w:before="0" w:beforeAutospacing="0" w:after="0" w:afterAutospacing="0"/>
              <w:ind w:left="0" w:firstLine="357"/>
              <w:jc w:val="both"/>
              <w:rPr>
                <w:rFonts w:ascii="Times New Roman" w:hAnsi="Times New Roman" w:cs="Times New Roman"/>
                <w:b/>
                <w:bCs/>
                <w:sz w:val="22"/>
                <w:szCs w:val="22"/>
                <w:lang w:val="uk-UA"/>
              </w:rPr>
            </w:pPr>
            <w:r w:rsidRPr="002344BA">
              <w:rPr>
                <w:rFonts w:ascii="Times New Roman" w:hAnsi="Times New Roman" w:cs="Times New Roman"/>
                <w:b/>
                <w:bCs/>
                <w:sz w:val="22"/>
                <w:szCs w:val="22"/>
                <w:lang w:val="uk-UA"/>
              </w:rPr>
              <w:t>Сертифікат суб'єкта оціночної діяльності</w:t>
            </w:r>
            <w:r w:rsidR="00370574" w:rsidRPr="002344BA">
              <w:rPr>
                <w:rFonts w:ascii="Times New Roman" w:hAnsi="Times New Roman" w:cs="Times New Roman"/>
                <w:b/>
                <w:bCs/>
                <w:sz w:val="22"/>
                <w:szCs w:val="22"/>
                <w:lang w:val="uk-UA"/>
              </w:rPr>
              <w:t>.</w:t>
            </w:r>
            <w:r w:rsidR="00877FC4" w:rsidRPr="002344BA">
              <w:rPr>
                <w:rFonts w:ascii="Times New Roman" w:hAnsi="Times New Roman" w:cs="Times New Roman"/>
                <w:b/>
                <w:bCs/>
                <w:sz w:val="22"/>
                <w:szCs w:val="22"/>
                <w:lang w:val="uk-UA"/>
              </w:rPr>
              <w:t xml:space="preserve"> Компанія повинна бути внесена до Державного реєстру оцінювачів та суб’єктів оціночної діяльності.</w:t>
            </w:r>
            <w:r w:rsidR="00370574" w:rsidRPr="00877FC4">
              <w:rPr>
                <w:rFonts w:ascii="Times New Roman" w:hAnsi="Times New Roman" w:cs="Times New Roman"/>
                <w:b/>
                <w:bCs/>
                <w:sz w:val="22"/>
                <w:szCs w:val="22"/>
                <w:lang w:val="uk-UA"/>
              </w:rPr>
              <w:t xml:space="preserve"> </w:t>
            </w:r>
          </w:p>
        </w:tc>
      </w:tr>
      <w:tr w:rsidR="00BC13F3" w:rsidRPr="000B48D8" w14:paraId="440D73B1" w14:textId="77777777" w:rsidTr="006C7714">
        <w:trPr>
          <w:trHeight w:val="263"/>
        </w:trPr>
        <w:tc>
          <w:tcPr>
            <w:tcW w:w="656" w:type="dxa"/>
          </w:tcPr>
          <w:p w14:paraId="0938F4C9" w14:textId="6D06BE5F"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2120731E" w14:textId="011E79F2" w:rsidR="00BC13F3" w:rsidRPr="000B48D8" w:rsidRDefault="00BC13F3" w:rsidP="005D793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641" w:type="dxa"/>
            <w:shd w:val="clear" w:color="auto" w:fill="auto"/>
          </w:tcPr>
          <w:p w14:paraId="74ED0609" w14:textId="59885ECC" w:rsidR="00BC13F3" w:rsidRPr="000B48D8" w:rsidRDefault="00D85774" w:rsidP="00C178D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6C7714">
        <w:trPr>
          <w:trHeight w:val="143"/>
        </w:trPr>
        <w:tc>
          <w:tcPr>
            <w:tcW w:w="656" w:type="dxa"/>
          </w:tcPr>
          <w:p w14:paraId="36F368E5" w14:textId="54F67EB1" w:rsidR="005000CA" w:rsidRPr="00BC13F3" w:rsidRDefault="005000CA"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6F5C7EA8" w14:textId="7E22EFFA" w:rsidR="005000CA" w:rsidRPr="00557A29" w:rsidRDefault="005000CA" w:rsidP="005000C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3641" w:type="dxa"/>
          </w:tcPr>
          <w:p w14:paraId="4A73F0C3" w14:textId="17D77317" w:rsidR="005000CA" w:rsidRPr="00557A29" w:rsidRDefault="005000CA" w:rsidP="005000C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C7714">
        <w:trPr>
          <w:trHeight w:val="143"/>
        </w:trPr>
        <w:tc>
          <w:tcPr>
            <w:tcW w:w="656" w:type="dxa"/>
            <w:vMerge w:val="restart"/>
          </w:tcPr>
          <w:p w14:paraId="7C1D8729" w14:textId="0F673AE6"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4B096979" w14:textId="2432AF7F" w:rsidR="006077CE"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641" w:type="dxa"/>
            <w:vMerge w:val="restart"/>
          </w:tcPr>
          <w:p w14:paraId="401B0F50" w14:textId="6B05B422" w:rsidR="006077CE" w:rsidRPr="005000CA"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C7714">
        <w:trPr>
          <w:trHeight w:val="143"/>
        </w:trPr>
        <w:tc>
          <w:tcPr>
            <w:tcW w:w="656" w:type="dxa"/>
            <w:vMerge/>
          </w:tcPr>
          <w:p w14:paraId="3AACB38D" w14:textId="77777777"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433B2254"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3641" w:type="dxa"/>
            <w:vMerge/>
          </w:tcPr>
          <w:p w14:paraId="1DF08DF0" w14:textId="77777777" w:rsidR="006077CE" w:rsidRPr="00F04B6C"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C7714">
        <w:trPr>
          <w:trHeight w:val="143"/>
        </w:trPr>
        <w:tc>
          <w:tcPr>
            <w:tcW w:w="656" w:type="dxa"/>
            <w:vMerge w:val="restart"/>
          </w:tcPr>
          <w:p w14:paraId="21750242" w14:textId="064B40EE"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865" w:type="dxa"/>
            <w:shd w:val="clear" w:color="auto" w:fill="auto"/>
          </w:tcPr>
          <w:p w14:paraId="20E46B74" w14:textId="1968EDAE"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3641" w:type="dxa"/>
            <w:vMerge w:val="restart"/>
            <w:vAlign w:val="center"/>
          </w:tcPr>
          <w:p w14:paraId="0F2E8719" w14:textId="77777777" w:rsidR="005C33EB" w:rsidRPr="00D3601A" w:rsidRDefault="005C33EB" w:rsidP="005C33EB">
            <w:pPr>
              <w:pStyle w:val="a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E67971" w14:paraId="53E40327" w14:textId="77777777" w:rsidTr="006C7714">
        <w:trPr>
          <w:trHeight w:val="143"/>
        </w:trPr>
        <w:tc>
          <w:tcPr>
            <w:tcW w:w="656" w:type="dxa"/>
            <w:vMerge/>
          </w:tcPr>
          <w:p w14:paraId="7AB1B22B" w14:textId="2DC26BE5"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865" w:type="dxa"/>
            <w:shd w:val="clear" w:color="auto" w:fill="auto"/>
          </w:tcPr>
          <w:p w14:paraId="0E0D0C3E" w14:textId="6972D964"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3641" w:type="dxa"/>
            <w:vMerge/>
          </w:tcPr>
          <w:p w14:paraId="259B5A4D"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C7714">
        <w:trPr>
          <w:trHeight w:val="143"/>
        </w:trPr>
        <w:tc>
          <w:tcPr>
            <w:tcW w:w="656" w:type="dxa"/>
            <w:vMerge/>
          </w:tcPr>
          <w:p w14:paraId="11DF52A2" w14:textId="13784AEF"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865" w:type="dxa"/>
            <w:shd w:val="clear" w:color="auto" w:fill="auto"/>
          </w:tcPr>
          <w:p w14:paraId="3F71D2DD" w14:textId="29FEBB11"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3641" w:type="dxa"/>
            <w:vMerge/>
          </w:tcPr>
          <w:p w14:paraId="0CB3431A"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C7714">
        <w:trPr>
          <w:trHeight w:val="143"/>
        </w:trPr>
        <w:tc>
          <w:tcPr>
            <w:tcW w:w="656" w:type="dxa"/>
            <w:vMerge/>
          </w:tcPr>
          <w:p w14:paraId="02D1126B" w14:textId="424ED324"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29BC3F61" w14:textId="15605F40"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3641" w:type="dxa"/>
            <w:vMerge/>
          </w:tcPr>
          <w:p w14:paraId="35D84209"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C7714">
        <w:trPr>
          <w:trHeight w:val="143"/>
        </w:trPr>
        <w:tc>
          <w:tcPr>
            <w:tcW w:w="656" w:type="dxa"/>
          </w:tcPr>
          <w:p w14:paraId="6CF3AEDA" w14:textId="1006A6DB"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5B87D422" w14:textId="2716F1E4" w:rsidR="005C33EB" w:rsidRPr="00224657" w:rsidRDefault="005C33EB" w:rsidP="005C33EB">
            <w:pPr>
              <w:pStyle w:val="a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3641" w:type="dxa"/>
          </w:tcPr>
          <w:p w14:paraId="04E20EC5" w14:textId="5A91B6D4" w:rsidR="005C33EB" w:rsidRPr="005000CA" w:rsidRDefault="005C33EB" w:rsidP="005C33E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C7714">
        <w:trPr>
          <w:trHeight w:val="76"/>
        </w:trPr>
        <w:tc>
          <w:tcPr>
            <w:tcW w:w="656" w:type="dxa"/>
          </w:tcPr>
          <w:p w14:paraId="169BCF85" w14:textId="6A3BE278"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382F4261" w14:textId="5D5164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3641" w:type="dxa"/>
            <w:shd w:val="clear" w:color="auto" w:fill="auto"/>
          </w:tcPr>
          <w:p w14:paraId="081249D3" w14:textId="77777777"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6C7714">
        <w:trPr>
          <w:trHeight w:val="76"/>
        </w:trPr>
        <w:tc>
          <w:tcPr>
            <w:tcW w:w="656" w:type="dxa"/>
          </w:tcPr>
          <w:p w14:paraId="45A9D29B" w14:textId="166BF74E" w:rsidR="005C33EB" w:rsidRPr="00BC13F3" w:rsidRDefault="005C33EB" w:rsidP="00B97F3A">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5865" w:type="dxa"/>
            <w:shd w:val="clear" w:color="auto" w:fill="auto"/>
          </w:tcPr>
          <w:p w14:paraId="3B9F7E31" w14:textId="00C6AC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3641" w:type="dxa"/>
            <w:shd w:val="clear" w:color="auto" w:fill="auto"/>
          </w:tcPr>
          <w:p w14:paraId="70B8F3F7" w14:textId="74BEFB7D"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w:t>
            </w:r>
            <w:r w:rsidRPr="00A038BD">
              <w:rPr>
                <w:rFonts w:ascii="Times New Roman" w:hAnsi="Times New Roman" w:cs="Times New Roman"/>
                <w:sz w:val="22"/>
                <w:szCs w:val="22"/>
                <w:lang w:val="uk-UA"/>
              </w:rPr>
              <w:t xml:space="preserve">зазначенням обороту компанії за ці роки. </w:t>
            </w:r>
          </w:p>
        </w:tc>
      </w:tr>
      <w:tr w:rsidR="00E629BA" w:rsidRPr="00557A29" w14:paraId="46FD5C71" w14:textId="77777777" w:rsidTr="006C7714">
        <w:trPr>
          <w:trHeight w:val="76"/>
        </w:trPr>
        <w:tc>
          <w:tcPr>
            <w:tcW w:w="656" w:type="dxa"/>
            <w:vMerge w:val="restart"/>
          </w:tcPr>
          <w:p w14:paraId="045A4F69" w14:textId="77777777" w:rsidR="00E629BA" w:rsidRPr="00BC13F3" w:rsidRDefault="00E629BA" w:rsidP="00DF326D">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5865" w:type="dxa"/>
            <w:shd w:val="clear" w:color="auto" w:fill="auto"/>
          </w:tcPr>
          <w:p w14:paraId="4B022F45" w14:textId="77777777" w:rsidR="00E629BA" w:rsidRPr="002344BA" w:rsidRDefault="00E629BA"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Договір повинен бути підписаний між двома</w:t>
            </w:r>
          </w:p>
          <w:p w14:paraId="17A5125D" w14:textId="6535082A" w:rsidR="00E629BA" w:rsidRPr="002344BA" w:rsidRDefault="00E629BA"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 xml:space="preserve">сторонами (ТЧХУ і </w:t>
            </w:r>
            <w:r w:rsidR="00A12FA9" w:rsidRPr="002344BA">
              <w:rPr>
                <w:rFonts w:ascii="Times New Roman" w:hAnsi="Times New Roman" w:cs="Times New Roman"/>
                <w:sz w:val="22"/>
                <w:szCs w:val="22"/>
                <w:lang w:val="uk-UA"/>
              </w:rPr>
              <w:t>компанія оцінювач</w:t>
            </w:r>
            <w:r w:rsidRPr="002344BA">
              <w:rPr>
                <w:rFonts w:ascii="Times New Roman" w:hAnsi="Times New Roman" w:cs="Times New Roman"/>
                <w:sz w:val="22"/>
                <w:szCs w:val="22"/>
                <w:lang w:val="uk-UA"/>
              </w:rPr>
              <w:t>)</w:t>
            </w:r>
          </w:p>
        </w:tc>
        <w:tc>
          <w:tcPr>
            <w:tcW w:w="3641" w:type="dxa"/>
            <w:vMerge w:val="restart"/>
            <w:shd w:val="clear" w:color="auto" w:fill="auto"/>
            <w:vAlign w:val="center"/>
          </w:tcPr>
          <w:p w14:paraId="32BE3B80" w14:textId="3F1FD693" w:rsidR="00E629BA" w:rsidRPr="00B67735" w:rsidRDefault="00E629BA" w:rsidP="00DF326D">
            <w:pPr>
              <w:pStyle w:val="ab"/>
              <w:numPr>
                <w:ilvl w:val="0"/>
                <w:numId w:val="3"/>
              </w:numPr>
              <w:spacing w:before="0" w:after="0"/>
              <w:ind w:left="313"/>
              <w:rPr>
                <w:rFonts w:ascii="Times New Roman" w:hAnsi="Times New Roman" w:cs="Times New Roman"/>
                <w:sz w:val="22"/>
                <w:szCs w:val="22"/>
                <w:lang w:val="uk-UA"/>
              </w:rPr>
            </w:pPr>
            <w:r w:rsidRPr="00BF3E66">
              <w:rPr>
                <w:rFonts w:ascii="Times New Roman" w:hAnsi="Times New Roman" w:cs="Times New Roman"/>
                <w:sz w:val="22"/>
                <w:szCs w:val="22"/>
                <w:lang w:val="uk-UA"/>
              </w:rPr>
              <w:t xml:space="preserve">Лист-гарантія на бланку учасника, щодо виконання технічних вимог </w:t>
            </w:r>
            <w:r w:rsidRPr="00BF3E66">
              <w:rPr>
                <w:rFonts w:ascii="Times New Roman" w:hAnsi="Times New Roman" w:cs="Times New Roman"/>
                <w:i/>
                <w:iCs/>
                <w:sz w:val="22"/>
                <w:szCs w:val="22"/>
                <w:lang w:val="uk-UA"/>
              </w:rPr>
              <w:t>(одним листом)</w:t>
            </w:r>
          </w:p>
        </w:tc>
      </w:tr>
      <w:tr w:rsidR="00E629BA" w:rsidRPr="00E67971" w14:paraId="7BA5A590" w14:textId="77777777" w:rsidTr="006C7714">
        <w:trPr>
          <w:trHeight w:val="96"/>
        </w:trPr>
        <w:tc>
          <w:tcPr>
            <w:tcW w:w="656" w:type="dxa"/>
            <w:vMerge/>
          </w:tcPr>
          <w:p w14:paraId="6694A1F9" w14:textId="46FB196B"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865" w:type="dxa"/>
            <w:shd w:val="clear" w:color="auto" w:fill="auto"/>
            <w:vAlign w:val="center"/>
          </w:tcPr>
          <w:p w14:paraId="5C3317AD" w14:textId="351E3C1D" w:rsidR="00E629BA" w:rsidRPr="002344BA" w:rsidRDefault="00187BB9"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Компанія має оцінювачів, які володіють знаннями стандартів МСФЗ</w:t>
            </w:r>
            <w:r w:rsidR="00F84CAC" w:rsidRPr="002344BA">
              <w:rPr>
                <w:rFonts w:ascii="Times New Roman" w:hAnsi="Times New Roman" w:cs="Times New Roman"/>
                <w:sz w:val="22"/>
                <w:szCs w:val="22"/>
                <w:lang w:val="uk-UA"/>
              </w:rPr>
              <w:t xml:space="preserve"> та мають досвід проведення оцінки для міжнародної звітності</w:t>
            </w:r>
          </w:p>
        </w:tc>
        <w:tc>
          <w:tcPr>
            <w:tcW w:w="3641" w:type="dxa"/>
            <w:vMerge/>
            <w:shd w:val="clear" w:color="auto" w:fill="auto"/>
            <w:vAlign w:val="center"/>
          </w:tcPr>
          <w:p w14:paraId="7FCD2231" w14:textId="6511EF5A" w:rsidR="00E629BA" w:rsidRPr="009856D2" w:rsidRDefault="00E629BA" w:rsidP="00DF326D">
            <w:pPr>
              <w:pStyle w:val="ab"/>
              <w:numPr>
                <w:ilvl w:val="0"/>
                <w:numId w:val="3"/>
              </w:numPr>
              <w:spacing w:before="0" w:beforeAutospacing="0" w:after="0" w:afterAutospacing="0"/>
              <w:ind w:left="313"/>
              <w:rPr>
                <w:rFonts w:ascii="Times New Roman" w:hAnsi="Times New Roman" w:cs="Times New Roman"/>
                <w:sz w:val="22"/>
                <w:szCs w:val="22"/>
                <w:lang w:val="uk-UA"/>
              </w:rPr>
            </w:pPr>
          </w:p>
        </w:tc>
      </w:tr>
      <w:tr w:rsidR="00E629BA" w:rsidRPr="00557A29" w14:paraId="6B8D450F" w14:textId="77777777" w:rsidTr="006C7714">
        <w:trPr>
          <w:trHeight w:val="96"/>
        </w:trPr>
        <w:tc>
          <w:tcPr>
            <w:tcW w:w="656" w:type="dxa"/>
            <w:vMerge/>
          </w:tcPr>
          <w:p w14:paraId="7AFF7B34" w14:textId="77777777" w:rsidR="00E629BA" w:rsidRPr="00BC13F3" w:rsidRDefault="00E629BA" w:rsidP="00DF326D">
            <w:pPr>
              <w:pStyle w:val="ab"/>
              <w:spacing w:before="0" w:beforeAutospacing="0" w:after="0" w:afterAutospacing="0"/>
              <w:ind w:left="360"/>
              <w:rPr>
                <w:rFonts w:ascii="Times New Roman" w:eastAsia="Times New Roman" w:hAnsi="Times New Roman" w:cs="Times New Roman"/>
                <w:b/>
                <w:bCs/>
                <w:sz w:val="22"/>
                <w:szCs w:val="22"/>
                <w:lang w:val="uk-UA"/>
              </w:rPr>
            </w:pPr>
          </w:p>
        </w:tc>
        <w:tc>
          <w:tcPr>
            <w:tcW w:w="5865" w:type="dxa"/>
            <w:shd w:val="clear" w:color="auto" w:fill="auto"/>
            <w:vAlign w:val="center"/>
          </w:tcPr>
          <w:p w14:paraId="36267FF0" w14:textId="0E0221A0" w:rsidR="00E629BA" w:rsidRPr="002344BA" w:rsidRDefault="00E21AA0" w:rsidP="005421AB">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Звіт про оцінку майна, який компанія надасть після проведення оцінки, буде відповідати</w:t>
            </w:r>
            <w:r w:rsidR="005421AB" w:rsidRPr="002344BA">
              <w:rPr>
                <w:rFonts w:ascii="Times New Roman" w:hAnsi="Times New Roman" w:cs="Times New Roman"/>
                <w:sz w:val="22"/>
                <w:szCs w:val="22"/>
                <w:lang w:val="uk-UA"/>
              </w:rPr>
              <w:t xml:space="preserve"> н</w:t>
            </w:r>
            <w:r w:rsidRPr="002344BA">
              <w:rPr>
                <w:rFonts w:ascii="Times New Roman" w:hAnsi="Times New Roman" w:cs="Times New Roman"/>
                <w:sz w:val="22"/>
                <w:szCs w:val="22"/>
                <w:lang w:val="uk-UA"/>
              </w:rPr>
              <w:t xml:space="preserve">аціональним стандартам оцінки </w:t>
            </w:r>
            <w:r w:rsidR="005421AB" w:rsidRPr="002344BA">
              <w:rPr>
                <w:rFonts w:ascii="Times New Roman" w:hAnsi="Times New Roman" w:cs="Times New Roman"/>
                <w:sz w:val="22"/>
                <w:szCs w:val="22"/>
                <w:lang w:val="uk-UA"/>
              </w:rPr>
              <w:t xml:space="preserve">та </w:t>
            </w:r>
            <w:r w:rsidRPr="002344BA">
              <w:rPr>
                <w:rFonts w:ascii="Times New Roman" w:hAnsi="Times New Roman" w:cs="Times New Roman"/>
                <w:sz w:val="22"/>
                <w:szCs w:val="22"/>
                <w:lang w:val="uk-UA"/>
              </w:rPr>
              <w:t xml:space="preserve">Міжнародним стандартам оцінки (IVS) </w:t>
            </w:r>
          </w:p>
        </w:tc>
        <w:tc>
          <w:tcPr>
            <w:tcW w:w="3641" w:type="dxa"/>
            <w:vMerge/>
            <w:shd w:val="clear" w:color="auto" w:fill="auto"/>
          </w:tcPr>
          <w:p w14:paraId="7E06F260" w14:textId="33357B4D" w:rsidR="00E629BA" w:rsidRPr="00143EA3" w:rsidRDefault="00E629BA" w:rsidP="00DF326D">
            <w:pPr>
              <w:pStyle w:val="ab"/>
              <w:spacing w:before="0" w:beforeAutospacing="0" w:after="0" w:afterAutospacing="0"/>
              <w:ind w:left="313"/>
              <w:rPr>
                <w:rFonts w:ascii="Times New Roman" w:hAnsi="Times New Roman" w:cs="Times New Roman"/>
                <w:sz w:val="22"/>
                <w:szCs w:val="22"/>
                <w:lang w:val="uk-UA"/>
              </w:rPr>
            </w:pPr>
          </w:p>
        </w:tc>
      </w:tr>
      <w:tr w:rsidR="00E629BA" w:rsidRPr="00557A29" w14:paraId="0363DB17" w14:textId="77777777" w:rsidTr="006C7714">
        <w:trPr>
          <w:trHeight w:val="96"/>
        </w:trPr>
        <w:tc>
          <w:tcPr>
            <w:tcW w:w="656" w:type="dxa"/>
            <w:vMerge/>
          </w:tcPr>
          <w:p w14:paraId="2DF0BA9F" w14:textId="77777777"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865" w:type="dxa"/>
            <w:shd w:val="clear" w:color="auto" w:fill="auto"/>
            <w:vAlign w:val="center"/>
          </w:tcPr>
          <w:p w14:paraId="073426BA" w14:textId="1F7279B6" w:rsidR="00E629BA" w:rsidRPr="002344BA" w:rsidRDefault="00E629BA"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Звіти повинні бути двомовними (укр/англ)</w:t>
            </w:r>
          </w:p>
        </w:tc>
        <w:tc>
          <w:tcPr>
            <w:tcW w:w="3641" w:type="dxa"/>
            <w:vMerge/>
            <w:shd w:val="clear" w:color="auto" w:fill="auto"/>
          </w:tcPr>
          <w:p w14:paraId="76BE738D" w14:textId="77777777" w:rsidR="00E629BA" w:rsidRPr="009856D2" w:rsidRDefault="00E629BA" w:rsidP="00DF326D">
            <w:pPr>
              <w:pStyle w:val="ab"/>
              <w:jc w:val="both"/>
              <w:rPr>
                <w:rFonts w:ascii="Times New Roman" w:hAnsi="Times New Roman" w:cs="Times New Roman"/>
                <w:bCs/>
                <w:color w:val="747474"/>
                <w:sz w:val="22"/>
                <w:szCs w:val="22"/>
                <w:highlight w:val="yellow"/>
                <w:lang w:val="uk-UA"/>
              </w:rPr>
            </w:pPr>
          </w:p>
        </w:tc>
      </w:tr>
      <w:tr w:rsidR="00E629BA" w:rsidRPr="00557A29" w14:paraId="660BD014" w14:textId="77777777" w:rsidTr="006C7714">
        <w:trPr>
          <w:trHeight w:val="96"/>
        </w:trPr>
        <w:tc>
          <w:tcPr>
            <w:tcW w:w="656" w:type="dxa"/>
            <w:vMerge/>
          </w:tcPr>
          <w:p w14:paraId="2162702B" w14:textId="77777777"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865" w:type="dxa"/>
            <w:shd w:val="clear" w:color="auto" w:fill="auto"/>
          </w:tcPr>
          <w:p w14:paraId="5875F22B" w14:textId="686917C2"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Сума договору на період надання послуг повинна бути фіксована</w:t>
            </w:r>
          </w:p>
        </w:tc>
        <w:tc>
          <w:tcPr>
            <w:tcW w:w="3641" w:type="dxa"/>
            <w:vMerge/>
            <w:shd w:val="clear" w:color="auto" w:fill="auto"/>
          </w:tcPr>
          <w:p w14:paraId="3FD83F93" w14:textId="77777777" w:rsidR="00E629BA" w:rsidRPr="009856D2" w:rsidRDefault="00E629BA" w:rsidP="00DF326D">
            <w:pPr>
              <w:pStyle w:val="ab"/>
              <w:jc w:val="both"/>
              <w:rPr>
                <w:rFonts w:ascii="Times New Roman" w:hAnsi="Times New Roman" w:cs="Times New Roman"/>
                <w:bCs/>
                <w:color w:val="747474"/>
                <w:sz w:val="22"/>
                <w:szCs w:val="22"/>
                <w:highlight w:val="yellow"/>
                <w:lang w:val="uk-UA"/>
              </w:rPr>
            </w:pP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b"/>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w:t>
      </w:r>
      <w:bookmarkStart w:id="1" w:name="_Hlk185515596"/>
      <w:r>
        <w:rPr>
          <w:rFonts w:ascii="Times New Roman" w:hAnsi="Times New Roman" w:cs="Times New Roman"/>
          <w:b/>
          <w:bCs/>
          <w:sz w:val="22"/>
          <w:szCs w:val="22"/>
          <w:lang w:val="uk-UA"/>
        </w:rPr>
        <w:t xml:space="preserve">ІІІ. </w:t>
      </w:r>
      <w:r w:rsidR="00336A40" w:rsidRPr="00557A29">
        <w:rPr>
          <w:rFonts w:ascii="Times New Roman" w:hAnsi="Times New Roman" w:cs="Times New Roman"/>
          <w:b/>
          <w:bCs/>
          <w:sz w:val="22"/>
          <w:szCs w:val="22"/>
          <w:lang w:val="uk-UA"/>
        </w:rPr>
        <w:t>Інша інформація</w:t>
      </w:r>
      <w:bookmarkEnd w:id="1"/>
      <w:r>
        <w:rPr>
          <w:rFonts w:ascii="Times New Roman" w:hAnsi="Times New Roman" w:cs="Times New Roman"/>
          <w:b/>
          <w:bCs/>
          <w:sz w:val="22"/>
          <w:szCs w:val="22"/>
          <w:lang w:val="uk-UA"/>
        </w:rPr>
        <w:t>:</w:t>
      </w:r>
    </w:p>
    <w:p w14:paraId="10210E9A" w14:textId="21E0B92D" w:rsidR="003854D6" w:rsidRPr="00A247C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w:t>
      </w:r>
      <w:r w:rsidR="001700D9" w:rsidRPr="00A247C6">
        <w:rPr>
          <w:rFonts w:eastAsia="Arial Unicode MS"/>
          <w:sz w:val="22"/>
          <w:szCs w:val="22"/>
          <w:lang w:val="uk-UA"/>
        </w:rPr>
        <w:t>Договором про закупівлю</w:t>
      </w:r>
      <w:r w:rsidRPr="00A247C6">
        <w:rPr>
          <w:rFonts w:eastAsia="Arial Unicode MS"/>
          <w:sz w:val="22"/>
          <w:szCs w:val="22"/>
          <w:lang w:val="uk-UA"/>
        </w:rPr>
        <w:t>.</w:t>
      </w:r>
    </w:p>
    <w:p w14:paraId="6D571630" w14:textId="5EA2FDBB" w:rsidR="00C20F20" w:rsidRPr="00A247C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247C6">
        <w:rPr>
          <w:rFonts w:eastAsia="Arial Unicode MS"/>
          <w:sz w:val="22"/>
          <w:szCs w:val="22"/>
          <w:lang w:val="uk-UA"/>
        </w:rPr>
        <w:t>Ціна пропозиції має бути остаточною та не підлягати будь-яким коригуванням.</w:t>
      </w:r>
    </w:p>
    <w:p w14:paraId="6ABB289E" w14:textId="4D65A9AA" w:rsidR="007654D9" w:rsidRPr="00991FDF"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247C6">
        <w:rPr>
          <w:rFonts w:eastAsia="Arial Unicode MS"/>
          <w:sz w:val="22"/>
          <w:szCs w:val="22"/>
          <w:lang w:val="uk-UA"/>
        </w:rPr>
        <w:t xml:space="preserve">Всі документи, що входять у склад </w:t>
      </w:r>
      <w:r w:rsidR="00D85774" w:rsidRPr="00A247C6">
        <w:rPr>
          <w:rFonts w:eastAsia="Arial Unicode MS"/>
          <w:sz w:val="22"/>
          <w:szCs w:val="22"/>
          <w:lang w:val="uk-UA"/>
        </w:rPr>
        <w:t>цінової</w:t>
      </w:r>
      <w:r w:rsidRPr="00A247C6">
        <w:rPr>
          <w:rFonts w:eastAsia="Arial Unicode MS"/>
          <w:sz w:val="22"/>
          <w:szCs w:val="22"/>
          <w:lang w:val="uk-UA"/>
        </w:rPr>
        <w:t xml:space="preserve"> пропозиції Учасника процедури закупівлі</w:t>
      </w:r>
      <w:r w:rsidRPr="00954E8C">
        <w:rPr>
          <w:rFonts w:eastAsia="Arial Unicode MS"/>
          <w:sz w:val="22"/>
          <w:szCs w:val="22"/>
          <w:lang w:val="uk-UA"/>
        </w:rPr>
        <w:t>,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 xml:space="preserve">У разі надання документів складених мовою іншою ніж українська мова, такі </w:t>
      </w:r>
      <w:r w:rsidR="007654D9" w:rsidRPr="004034C4">
        <w:rPr>
          <w:rFonts w:eastAsia="Arial Unicode MS"/>
          <w:sz w:val="22"/>
          <w:szCs w:val="22"/>
          <w:lang w:val="uk-UA"/>
        </w:rPr>
        <w:t xml:space="preserve">документи повинні супроводжуватися перекладом українською мовою. Визначальним є текст, викладений </w:t>
      </w:r>
      <w:r w:rsidR="007654D9" w:rsidRPr="00991FDF">
        <w:rPr>
          <w:rFonts w:eastAsia="Arial Unicode MS"/>
          <w:sz w:val="22"/>
          <w:szCs w:val="22"/>
          <w:lang w:val="uk-UA"/>
        </w:rPr>
        <w:t>українською мовою.</w:t>
      </w:r>
    </w:p>
    <w:p w14:paraId="7E7DE658" w14:textId="0AAA72FB" w:rsidR="009F2507" w:rsidRPr="00991FDF" w:rsidRDefault="000B48D8" w:rsidP="002E264C">
      <w:pPr>
        <w:pStyle w:val="af0"/>
        <w:numPr>
          <w:ilvl w:val="0"/>
          <w:numId w:val="37"/>
        </w:numPr>
        <w:ind w:left="0" w:firstLine="357"/>
        <w:jc w:val="both"/>
        <w:rPr>
          <w:rFonts w:eastAsia="Arial Unicode MS"/>
          <w:sz w:val="22"/>
          <w:szCs w:val="22"/>
          <w:lang w:val="uk-UA"/>
        </w:rPr>
      </w:pPr>
      <w:r w:rsidRPr="00991FDF">
        <w:rPr>
          <w:sz w:val="22"/>
          <w:szCs w:val="22"/>
          <w:lang w:val="uk-UA"/>
        </w:rPr>
        <w:t xml:space="preserve">Оплата здійснюється за системою </w:t>
      </w:r>
      <w:r w:rsidR="00C119B0" w:rsidRPr="00991FDF">
        <w:rPr>
          <w:sz w:val="22"/>
          <w:szCs w:val="22"/>
          <w:lang w:val="uk-UA"/>
        </w:rPr>
        <w:t>100% п</w:t>
      </w:r>
      <w:r w:rsidR="001E14CF" w:rsidRPr="00991FDF">
        <w:rPr>
          <w:sz w:val="22"/>
          <w:szCs w:val="22"/>
          <w:lang w:val="uk-UA"/>
        </w:rPr>
        <w:t>ісля</w:t>
      </w:r>
      <w:r w:rsidR="00C119B0" w:rsidRPr="00991FDF">
        <w:rPr>
          <w:sz w:val="22"/>
          <w:szCs w:val="22"/>
          <w:lang w:val="uk-UA"/>
        </w:rPr>
        <w:t>плати</w:t>
      </w:r>
      <w:r w:rsidRPr="00991FDF">
        <w:rPr>
          <w:sz w:val="22"/>
          <w:szCs w:val="22"/>
          <w:lang w:val="uk-UA"/>
        </w:rPr>
        <w:t xml:space="preserve"> протягом </w:t>
      </w:r>
      <w:r w:rsidR="0040132F" w:rsidRPr="00991FDF">
        <w:rPr>
          <w:sz w:val="22"/>
          <w:szCs w:val="22"/>
          <w:lang w:val="uk-UA"/>
        </w:rPr>
        <w:t>5</w:t>
      </w:r>
      <w:r w:rsidRPr="00991FDF">
        <w:rPr>
          <w:sz w:val="22"/>
          <w:szCs w:val="22"/>
          <w:lang w:val="uk-UA"/>
        </w:rPr>
        <w:t>-</w:t>
      </w:r>
      <w:r w:rsidR="002D7982" w:rsidRPr="00991FDF">
        <w:rPr>
          <w:sz w:val="22"/>
          <w:szCs w:val="22"/>
          <w:lang w:val="uk-UA"/>
        </w:rPr>
        <w:t>ти</w:t>
      </w:r>
      <w:r w:rsidRPr="00991FDF">
        <w:rPr>
          <w:sz w:val="22"/>
          <w:szCs w:val="22"/>
          <w:lang w:val="uk-UA"/>
        </w:rPr>
        <w:t xml:space="preserve"> </w:t>
      </w:r>
      <w:r w:rsidR="002D7982" w:rsidRPr="00991FDF">
        <w:rPr>
          <w:sz w:val="22"/>
          <w:szCs w:val="22"/>
          <w:lang w:val="uk-UA"/>
        </w:rPr>
        <w:t>робочих</w:t>
      </w:r>
      <w:r w:rsidRPr="00991FDF">
        <w:rPr>
          <w:sz w:val="22"/>
          <w:szCs w:val="22"/>
          <w:lang w:val="uk-UA"/>
        </w:rPr>
        <w:t xml:space="preserve"> днів по факту завершення надання послуг</w:t>
      </w:r>
      <w:r w:rsidR="009E66A0" w:rsidRPr="00991FDF">
        <w:rPr>
          <w:sz w:val="22"/>
          <w:szCs w:val="22"/>
          <w:lang w:val="uk-UA"/>
        </w:rPr>
        <w:t xml:space="preserve"> </w:t>
      </w:r>
      <w:r w:rsidR="00FF361D" w:rsidRPr="00991FDF">
        <w:rPr>
          <w:sz w:val="22"/>
          <w:szCs w:val="22"/>
          <w:lang w:val="uk-UA"/>
        </w:rPr>
        <w:t>та підпис</w:t>
      </w:r>
      <w:r w:rsidR="00954E8C" w:rsidRPr="00991FDF">
        <w:rPr>
          <w:sz w:val="22"/>
          <w:szCs w:val="22"/>
          <w:lang w:val="uk-UA"/>
        </w:rPr>
        <w:t>ання</w:t>
      </w:r>
      <w:r w:rsidR="00FF361D" w:rsidRPr="00991FDF">
        <w:rPr>
          <w:sz w:val="22"/>
          <w:szCs w:val="22"/>
          <w:lang w:val="uk-UA"/>
        </w:rPr>
        <w:t xml:space="preserve"> </w:t>
      </w:r>
      <w:r w:rsidR="009E66A0" w:rsidRPr="00991FDF">
        <w:rPr>
          <w:sz w:val="22"/>
          <w:szCs w:val="22"/>
          <w:lang w:val="uk-UA"/>
        </w:rPr>
        <w:t>акту наданих послуг</w:t>
      </w:r>
      <w:r w:rsidRPr="00991FDF">
        <w:rPr>
          <w:sz w:val="22"/>
          <w:szCs w:val="22"/>
          <w:lang w:val="uk-UA"/>
        </w:rPr>
        <w:t>. Якщо Учасник пропонує власну систему оплат</w:t>
      </w:r>
      <w:r w:rsidR="0000195C" w:rsidRPr="00991FDF">
        <w:rPr>
          <w:sz w:val="22"/>
          <w:szCs w:val="22"/>
          <w:lang w:val="uk-UA"/>
        </w:rPr>
        <w:t>и</w:t>
      </w:r>
      <w:r w:rsidRPr="00991FDF">
        <w:rPr>
          <w:sz w:val="22"/>
          <w:szCs w:val="22"/>
          <w:lang w:val="uk-UA"/>
        </w:rPr>
        <w:t xml:space="preserve">, просимо вказати її в Додатку </w:t>
      </w:r>
      <w:r w:rsidR="007654D9" w:rsidRPr="00991FDF">
        <w:rPr>
          <w:sz w:val="22"/>
          <w:szCs w:val="22"/>
          <w:lang w:val="uk-UA"/>
        </w:rPr>
        <w:t>№</w:t>
      </w:r>
      <w:r w:rsidR="00951705" w:rsidRPr="00991FDF">
        <w:rPr>
          <w:sz w:val="22"/>
          <w:szCs w:val="22"/>
          <w:lang w:val="uk-UA"/>
        </w:rPr>
        <w:t>3</w:t>
      </w:r>
      <w:r w:rsidR="002E264C" w:rsidRPr="00991FDF">
        <w:rPr>
          <w:sz w:val="22"/>
          <w:szCs w:val="22"/>
          <w:lang w:val="uk-UA"/>
        </w:rPr>
        <w:t xml:space="preserve">. </w:t>
      </w:r>
      <w:r w:rsidR="002E264C" w:rsidRPr="00991FDF">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FD1BA5" w:rsidRPr="00991FDF">
        <w:rPr>
          <w:sz w:val="22"/>
          <w:szCs w:val="22"/>
          <w:lang w:val="uk-UA"/>
        </w:rPr>
        <w:t xml:space="preserve"> </w:t>
      </w:r>
    </w:p>
    <w:p w14:paraId="50367BDE" w14:textId="7A3F77D9" w:rsidR="009F2507" w:rsidRPr="00991FDF" w:rsidRDefault="003F5F50" w:rsidP="009F2507">
      <w:pPr>
        <w:numPr>
          <w:ilvl w:val="1"/>
          <w:numId w:val="18"/>
        </w:numPr>
        <w:ind w:left="0" w:firstLine="357"/>
        <w:jc w:val="both"/>
        <w:rPr>
          <w:sz w:val="22"/>
          <w:szCs w:val="22"/>
          <w:lang w:val="uk-UA"/>
        </w:rPr>
      </w:pPr>
      <w:r w:rsidRPr="00991FDF">
        <w:rPr>
          <w:sz w:val="22"/>
          <w:szCs w:val="22"/>
          <w:lang w:val="uk-UA" w:eastAsia="en-US"/>
        </w:rPr>
        <w:t>Замовник залишає за собою право вимагати від учасників конкурсного відбору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даного конкурсного відбору</w:t>
      </w:r>
      <w:r w:rsidR="005A5F8A" w:rsidRPr="00991FDF">
        <w:rPr>
          <w:sz w:val="22"/>
          <w:szCs w:val="22"/>
          <w:lang w:val="uk-UA" w:eastAsia="uk-UA"/>
        </w:rPr>
        <w:t>.</w:t>
      </w:r>
    </w:p>
    <w:p w14:paraId="0DF076FE" w14:textId="38703979" w:rsidR="003F5F50" w:rsidRPr="00991FDF" w:rsidRDefault="003F5F50" w:rsidP="009F2507">
      <w:pPr>
        <w:numPr>
          <w:ilvl w:val="1"/>
          <w:numId w:val="18"/>
        </w:numPr>
        <w:ind w:left="0" w:firstLine="357"/>
        <w:jc w:val="both"/>
        <w:rPr>
          <w:sz w:val="22"/>
          <w:szCs w:val="22"/>
          <w:lang w:val="uk-UA"/>
        </w:rPr>
      </w:pPr>
      <w:r w:rsidRPr="00991FDF">
        <w:rPr>
          <w:sz w:val="22"/>
          <w:szCs w:val="22"/>
          <w:lang w:val="uk-UA" w:eastAsia="uk-UA"/>
        </w:rPr>
        <w:t xml:space="preserve">У разі відмінності пропозиції Учасника  від технічного завдання (Додаток </w:t>
      </w:r>
      <w:r w:rsidR="002E264C" w:rsidRPr="00991FDF">
        <w:rPr>
          <w:sz w:val="22"/>
          <w:szCs w:val="22"/>
          <w:lang w:val="uk-UA" w:eastAsia="uk-UA"/>
        </w:rPr>
        <w:t>№</w:t>
      </w:r>
      <w:r w:rsidR="00E653E1" w:rsidRPr="00991FDF">
        <w:rPr>
          <w:sz w:val="22"/>
          <w:szCs w:val="22"/>
          <w:lang w:val="uk-UA" w:eastAsia="uk-UA"/>
        </w:rPr>
        <w:t>2</w:t>
      </w:r>
      <w:r w:rsidRPr="00991FDF">
        <w:rPr>
          <w:sz w:val="22"/>
          <w:szCs w:val="22"/>
          <w:lang w:val="uk-UA" w:eastAsia="uk-UA"/>
        </w:rPr>
        <w:t>), рішення про допустимість такого відхилення приймається тендерним комітетом</w:t>
      </w:r>
    </w:p>
    <w:p w14:paraId="5F9D6355" w14:textId="77777777" w:rsidR="009F2507" w:rsidRPr="00D17F95" w:rsidRDefault="009F2507" w:rsidP="001A065E">
      <w:pPr>
        <w:numPr>
          <w:ilvl w:val="1"/>
          <w:numId w:val="18"/>
        </w:numPr>
        <w:ind w:left="0" w:firstLine="357"/>
        <w:jc w:val="both"/>
        <w:rPr>
          <w:sz w:val="22"/>
          <w:szCs w:val="22"/>
          <w:lang w:val="uk-UA"/>
        </w:rPr>
      </w:pPr>
      <w:r w:rsidRPr="00991FDF">
        <w:rPr>
          <w:sz w:val="22"/>
          <w:szCs w:val="22"/>
          <w:lang w:val="uk-UA" w:eastAsia="uk-UA"/>
        </w:rPr>
        <w:t xml:space="preserve"> </w:t>
      </w:r>
      <w:r w:rsidR="00F5724C" w:rsidRPr="00991FDF">
        <w:rPr>
          <w:sz w:val="22"/>
          <w:szCs w:val="22"/>
          <w:lang w:val="uk-UA"/>
        </w:rPr>
        <w:t xml:space="preserve">Замовник залишає за собою право вимагати від </w:t>
      </w:r>
      <w:r w:rsidR="00084AA2" w:rsidRPr="00991FDF">
        <w:rPr>
          <w:sz w:val="22"/>
          <w:szCs w:val="22"/>
          <w:lang w:val="uk-UA"/>
        </w:rPr>
        <w:t>У</w:t>
      </w:r>
      <w:r w:rsidR="00F5724C" w:rsidRPr="00991FDF">
        <w:rPr>
          <w:sz w:val="22"/>
          <w:szCs w:val="22"/>
          <w:lang w:val="uk-UA"/>
        </w:rPr>
        <w:t xml:space="preserve">часників </w:t>
      </w:r>
      <w:r w:rsidR="00084AA2" w:rsidRPr="00991FDF">
        <w:rPr>
          <w:sz w:val="22"/>
          <w:szCs w:val="22"/>
          <w:lang w:val="uk-UA"/>
        </w:rPr>
        <w:t>процедури закупівлі</w:t>
      </w:r>
      <w:r w:rsidR="00F5724C" w:rsidRPr="00991FDF">
        <w:rPr>
          <w:sz w:val="22"/>
          <w:szCs w:val="22"/>
          <w:lang w:val="uk-UA"/>
        </w:rPr>
        <w:t xml:space="preserve"> додаткові </w:t>
      </w:r>
      <w:r w:rsidR="00F5724C" w:rsidRPr="00D17F95">
        <w:rPr>
          <w:sz w:val="22"/>
          <w:szCs w:val="22"/>
          <w:lang w:val="uk-UA"/>
        </w:rPr>
        <w:t xml:space="preserve">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17F95">
        <w:rPr>
          <w:sz w:val="22"/>
          <w:szCs w:val="22"/>
          <w:lang w:val="uk-UA"/>
        </w:rPr>
        <w:t>У</w:t>
      </w:r>
      <w:r w:rsidR="00F5724C" w:rsidRPr="00D17F95">
        <w:rPr>
          <w:sz w:val="22"/>
          <w:szCs w:val="22"/>
          <w:lang w:val="uk-UA"/>
        </w:rPr>
        <w:t>часника дано</w:t>
      </w:r>
      <w:r w:rsidR="00AE62A5" w:rsidRPr="00D17F95">
        <w:rPr>
          <w:sz w:val="22"/>
          <w:szCs w:val="22"/>
          <w:lang w:val="uk-UA"/>
        </w:rPr>
        <w:t>ї процедури закупівлі</w:t>
      </w:r>
      <w:r w:rsidR="00F5724C" w:rsidRPr="00D17F95">
        <w:rPr>
          <w:sz w:val="22"/>
          <w:szCs w:val="22"/>
          <w:lang w:val="uk-UA"/>
        </w:rPr>
        <w:t>.</w:t>
      </w:r>
      <w:r w:rsidRPr="00D17F95">
        <w:rPr>
          <w:sz w:val="22"/>
          <w:szCs w:val="22"/>
          <w:lang w:val="uk-UA"/>
        </w:rPr>
        <w:t xml:space="preserve"> </w:t>
      </w:r>
    </w:p>
    <w:p w14:paraId="23F0D60F" w14:textId="64A815CE" w:rsidR="004E7D16" w:rsidRPr="00D17F95" w:rsidRDefault="001A065E" w:rsidP="001A065E">
      <w:pPr>
        <w:numPr>
          <w:ilvl w:val="1"/>
          <w:numId w:val="18"/>
        </w:numPr>
        <w:ind w:left="0" w:firstLine="357"/>
        <w:jc w:val="both"/>
        <w:rPr>
          <w:sz w:val="22"/>
          <w:szCs w:val="22"/>
          <w:lang w:val="uk-UA"/>
        </w:rPr>
      </w:pPr>
      <w:r w:rsidRPr="00D17F95">
        <w:rPr>
          <w:sz w:val="22"/>
          <w:szCs w:val="22"/>
          <w:lang w:val="uk-UA"/>
        </w:rPr>
        <w:t xml:space="preserve"> </w:t>
      </w:r>
      <w:r w:rsidR="004E7D16" w:rsidRPr="00D17F95">
        <w:rPr>
          <w:sz w:val="22"/>
          <w:szCs w:val="22"/>
          <w:lang w:val="uk-UA"/>
        </w:rPr>
        <w:t>Замовник залишає за собою право вносити зміни в тендерну документацію в разі необхідності.</w:t>
      </w:r>
    </w:p>
    <w:p w14:paraId="765C31DF" w14:textId="77777777" w:rsidR="00846839" w:rsidRDefault="00846839" w:rsidP="001A065E">
      <w:pPr>
        <w:numPr>
          <w:ilvl w:val="1"/>
          <w:numId w:val="18"/>
        </w:numPr>
        <w:ind w:left="0" w:firstLine="357"/>
        <w:rPr>
          <w:sz w:val="22"/>
          <w:szCs w:val="22"/>
          <w:lang w:val="uk-UA"/>
        </w:rPr>
      </w:pPr>
      <w:r w:rsidRPr="00D17F95">
        <w:rPr>
          <w:sz w:val="22"/>
          <w:szCs w:val="22"/>
          <w:lang w:val="uk-UA"/>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333F64A8" w14:textId="22056058" w:rsidR="00707C68" w:rsidRPr="00707C68" w:rsidRDefault="00707C68" w:rsidP="001A065E">
      <w:pPr>
        <w:numPr>
          <w:ilvl w:val="1"/>
          <w:numId w:val="18"/>
        </w:numPr>
        <w:ind w:left="0" w:firstLine="357"/>
        <w:rPr>
          <w:sz w:val="22"/>
          <w:szCs w:val="22"/>
          <w:lang w:val="uk-UA"/>
        </w:rPr>
      </w:pPr>
      <w:r w:rsidRPr="00707C68">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D17F95" w:rsidRDefault="00875E2E" w:rsidP="006C7714">
      <w:pPr>
        <w:contextualSpacing/>
        <w:jc w:val="both"/>
        <w:rPr>
          <w:sz w:val="22"/>
          <w:szCs w:val="22"/>
          <w:lang w:val="uk-UA"/>
        </w:rPr>
      </w:pPr>
    </w:p>
    <w:p w14:paraId="0D9E3B21" w14:textId="58EBF32F" w:rsidR="00325A62" w:rsidRPr="00D17F95" w:rsidRDefault="00370791" w:rsidP="00D53C41">
      <w:pPr>
        <w:pStyle w:val="ab"/>
        <w:spacing w:before="0" w:beforeAutospacing="0" w:after="0" w:afterAutospacing="0"/>
        <w:ind w:firstLine="357"/>
        <w:jc w:val="center"/>
        <w:rPr>
          <w:rFonts w:ascii="Times New Roman" w:hAnsi="Times New Roman" w:cs="Times New Roman"/>
          <w:b/>
          <w:bCs/>
          <w:sz w:val="22"/>
          <w:szCs w:val="22"/>
          <w:lang w:val="uk-UA"/>
        </w:rPr>
      </w:pPr>
      <w:r w:rsidRPr="00D17F95">
        <w:rPr>
          <w:rFonts w:ascii="Times New Roman" w:hAnsi="Times New Roman" w:cs="Times New Roman"/>
          <w:b/>
          <w:bCs/>
          <w:sz w:val="22"/>
          <w:szCs w:val="22"/>
          <w:lang w:val="uk-UA"/>
        </w:rPr>
        <w:t xml:space="preserve"> </w:t>
      </w:r>
      <w:r w:rsidRPr="00D17F95">
        <w:rPr>
          <w:rFonts w:ascii="Times New Roman" w:hAnsi="Times New Roman" w:cs="Times New Roman"/>
          <w:b/>
          <w:bCs/>
          <w:sz w:val="22"/>
          <w:szCs w:val="22"/>
          <w:lang w:val="en-US"/>
        </w:rPr>
        <w:t>IV</w:t>
      </w:r>
      <w:r w:rsidRPr="00D17F95">
        <w:rPr>
          <w:rFonts w:ascii="Times New Roman" w:hAnsi="Times New Roman" w:cs="Times New Roman"/>
          <w:b/>
          <w:bCs/>
          <w:sz w:val="22"/>
          <w:szCs w:val="22"/>
        </w:rPr>
        <w:t xml:space="preserve">. </w:t>
      </w:r>
      <w:r w:rsidR="00336A40" w:rsidRPr="00D17F95">
        <w:rPr>
          <w:rFonts w:ascii="Times New Roman" w:hAnsi="Times New Roman" w:cs="Times New Roman"/>
          <w:b/>
          <w:bCs/>
          <w:sz w:val="22"/>
          <w:szCs w:val="22"/>
          <w:lang w:val="uk-UA"/>
        </w:rPr>
        <w:t xml:space="preserve">Склад </w:t>
      </w:r>
      <w:r w:rsidR="0085481F" w:rsidRPr="00D17F95">
        <w:rPr>
          <w:rFonts w:ascii="Times New Roman" w:hAnsi="Times New Roman" w:cs="Times New Roman"/>
          <w:b/>
          <w:bCs/>
          <w:sz w:val="22"/>
          <w:szCs w:val="22"/>
          <w:lang w:val="uk-UA"/>
        </w:rPr>
        <w:t>цінов</w:t>
      </w:r>
      <w:r w:rsidR="00336A40" w:rsidRPr="00D17F95">
        <w:rPr>
          <w:rFonts w:ascii="Times New Roman" w:hAnsi="Times New Roman" w:cs="Times New Roman"/>
          <w:b/>
          <w:bCs/>
          <w:sz w:val="22"/>
          <w:szCs w:val="22"/>
          <w:lang w:val="uk-UA"/>
        </w:rPr>
        <w:t>ої пропозиції:</w:t>
      </w:r>
    </w:p>
    <w:p w14:paraId="20E424CB" w14:textId="21139A8B"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 xml:space="preserve">Титульний аркуш у формі Додатку </w:t>
      </w:r>
      <w:r w:rsidR="007654D9" w:rsidRPr="00D17F95">
        <w:rPr>
          <w:rFonts w:ascii="Times New Roman" w:eastAsia="Times New Roman" w:hAnsi="Times New Roman" w:cs="Times New Roman"/>
          <w:sz w:val="22"/>
          <w:szCs w:val="22"/>
          <w:lang w:val="uk-UA"/>
        </w:rPr>
        <w:t>№</w:t>
      </w:r>
      <w:r w:rsidRPr="00D17F95">
        <w:rPr>
          <w:rFonts w:ascii="Times New Roman" w:eastAsia="Times New Roman" w:hAnsi="Times New Roman" w:cs="Times New Roman"/>
          <w:sz w:val="22"/>
          <w:szCs w:val="22"/>
          <w:lang w:val="uk-UA"/>
        </w:rPr>
        <w:t xml:space="preserve">1 до </w:t>
      </w:r>
      <w:r w:rsidR="001D142B" w:rsidRPr="00D17F95">
        <w:rPr>
          <w:rFonts w:ascii="Times New Roman" w:eastAsia="Times New Roman" w:hAnsi="Times New Roman" w:cs="Times New Roman"/>
          <w:sz w:val="22"/>
          <w:szCs w:val="22"/>
          <w:lang w:val="uk-UA"/>
        </w:rPr>
        <w:t>Запиту</w:t>
      </w:r>
      <w:r w:rsidRPr="00D17F95">
        <w:rPr>
          <w:rFonts w:ascii="Times New Roman" w:eastAsia="Times New Roman" w:hAnsi="Times New Roman" w:cs="Times New Roman"/>
          <w:sz w:val="22"/>
          <w:szCs w:val="22"/>
        </w:rPr>
        <w:t>;</w:t>
      </w:r>
    </w:p>
    <w:p w14:paraId="6B6451CA" w14:textId="3455B38F" w:rsidR="00E550F7" w:rsidRPr="00D17F95" w:rsidRDefault="00B93C90"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Цінова</w:t>
      </w:r>
      <w:r w:rsidR="00E550F7" w:rsidRPr="00D17F95">
        <w:rPr>
          <w:rFonts w:ascii="Times New Roman" w:eastAsia="Times New Roman" w:hAnsi="Times New Roman" w:cs="Times New Roman"/>
          <w:sz w:val="22"/>
          <w:szCs w:val="22"/>
          <w:lang w:val="uk-UA"/>
        </w:rPr>
        <w:t xml:space="preserve"> пропозиція у </w:t>
      </w:r>
      <w:r w:rsidR="00E550F7" w:rsidRPr="00991FDF">
        <w:rPr>
          <w:rFonts w:ascii="Times New Roman" w:eastAsia="Times New Roman" w:hAnsi="Times New Roman" w:cs="Times New Roman"/>
          <w:sz w:val="22"/>
          <w:szCs w:val="22"/>
          <w:lang w:val="uk-UA"/>
        </w:rPr>
        <w:t xml:space="preserve">формі Додатку </w:t>
      </w:r>
      <w:r w:rsidR="007654D9" w:rsidRPr="00991FDF">
        <w:rPr>
          <w:rFonts w:ascii="Times New Roman" w:eastAsia="Times New Roman" w:hAnsi="Times New Roman" w:cs="Times New Roman"/>
          <w:sz w:val="22"/>
          <w:szCs w:val="22"/>
          <w:lang w:val="uk-UA"/>
        </w:rPr>
        <w:t>№</w:t>
      </w:r>
      <w:r w:rsidR="00E653E1" w:rsidRPr="00991FDF">
        <w:rPr>
          <w:rFonts w:ascii="Times New Roman" w:eastAsia="Times New Roman" w:hAnsi="Times New Roman" w:cs="Times New Roman"/>
          <w:sz w:val="22"/>
          <w:szCs w:val="22"/>
          <w:lang w:val="uk-UA"/>
        </w:rPr>
        <w:t xml:space="preserve"> 3</w:t>
      </w:r>
      <w:r w:rsidR="00E550F7" w:rsidRPr="00991FDF">
        <w:rPr>
          <w:rFonts w:ascii="Times New Roman" w:eastAsia="Times New Roman" w:hAnsi="Times New Roman" w:cs="Times New Roman"/>
          <w:sz w:val="22"/>
          <w:szCs w:val="22"/>
          <w:lang w:val="uk-UA"/>
        </w:rPr>
        <w:t xml:space="preserve"> до</w:t>
      </w:r>
      <w:r w:rsidR="00E550F7" w:rsidRPr="00D17F95">
        <w:rPr>
          <w:rFonts w:ascii="Times New Roman" w:eastAsia="Times New Roman" w:hAnsi="Times New Roman" w:cs="Times New Roman"/>
          <w:sz w:val="22"/>
          <w:szCs w:val="22"/>
          <w:lang w:val="uk-UA"/>
        </w:rPr>
        <w:t xml:space="preserve"> </w:t>
      </w:r>
      <w:r w:rsidR="001D142B" w:rsidRPr="00D17F95">
        <w:rPr>
          <w:rFonts w:ascii="Times New Roman" w:eastAsia="Times New Roman" w:hAnsi="Times New Roman" w:cs="Times New Roman"/>
          <w:sz w:val="22"/>
          <w:szCs w:val="22"/>
          <w:lang w:val="uk-UA"/>
        </w:rPr>
        <w:t>Запиту</w:t>
      </w:r>
      <w:r w:rsidR="00E550F7" w:rsidRPr="00D17F95">
        <w:rPr>
          <w:rFonts w:ascii="Times New Roman" w:eastAsia="Times New Roman" w:hAnsi="Times New Roman" w:cs="Times New Roman"/>
          <w:sz w:val="22"/>
          <w:szCs w:val="22"/>
        </w:rPr>
        <w:t>;</w:t>
      </w:r>
    </w:p>
    <w:p w14:paraId="02A2AE9E" w14:textId="0C2C86EC"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001A296E" w:rsidRPr="00D17F95">
        <w:rPr>
          <w:rFonts w:ascii="Times New Roman" w:eastAsia="Times New Roman" w:hAnsi="Times New Roman" w:cs="Times New Roman"/>
          <w:b/>
          <w:bCs/>
          <w:sz w:val="22"/>
          <w:szCs w:val="22"/>
          <w:lang w:val="uk-UA"/>
        </w:rPr>
        <w:t>РОЗДІЛ</w:t>
      </w:r>
      <w:r w:rsidRPr="00D17F95">
        <w:rPr>
          <w:rFonts w:ascii="Times New Roman" w:eastAsia="Times New Roman" w:hAnsi="Times New Roman" w:cs="Times New Roman"/>
          <w:b/>
          <w:bCs/>
          <w:sz w:val="22"/>
          <w:szCs w:val="22"/>
          <w:lang w:val="uk-UA"/>
        </w:rPr>
        <w:t>У</w:t>
      </w:r>
      <w:r w:rsidRPr="00D17F95">
        <w:rPr>
          <w:rFonts w:ascii="Times New Roman" w:eastAsia="Times New Roman" w:hAnsi="Times New Roman" w:cs="Times New Roman"/>
          <w:b/>
          <w:sz w:val="22"/>
          <w:szCs w:val="22"/>
          <w:lang w:val="uk-UA"/>
        </w:rPr>
        <w:t xml:space="preserve"> </w:t>
      </w:r>
      <w:r w:rsidRPr="00D17F95">
        <w:rPr>
          <w:rFonts w:ascii="Times New Roman" w:eastAsia="Times New Roman" w:hAnsi="Times New Roman" w:cs="Times New Roman"/>
          <w:b/>
          <w:sz w:val="22"/>
          <w:szCs w:val="22"/>
          <w:lang w:val="en-US"/>
        </w:rPr>
        <w:t>II</w:t>
      </w:r>
      <w:r w:rsidRPr="00D17F95">
        <w:rPr>
          <w:rFonts w:ascii="Times New Roman" w:eastAsia="Times New Roman" w:hAnsi="Times New Roman" w:cs="Times New Roman"/>
          <w:sz w:val="22"/>
          <w:szCs w:val="22"/>
          <w:lang w:val="uk-UA"/>
        </w:rPr>
        <w:t xml:space="preserve"> </w:t>
      </w:r>
      <w:r w:rsidR="001D142B" w:rsidRPr="00D17F95">
        <w:rPr>
          <w:rFonts w:ascii="Times New Roman" w:eastAsia="Times New Roman" w:hAnsi="Times New Roman" w:cs="Times New Roman"/>
          <w:sz w:val="22"/>
          <w:szCs w:val="22"/>
          <w:lang w:val="uk-UA"/>
        </w:rPr>
        <w:t>Запиту</w:t>
      </w:r>
      <w:r w:rsidRPr="00D17F95">
        <w:rPr>
          <w:rFonts w:ascii="Times New Roman" w:eastAsia="Times New Roman" w:hAnsi="Times New Roman" w:cs="Times New Roman"/>
          <w:sz w:val="22"/>
          <w:szCs w:val="22"/>
          <w:lang w:val="uk-UA"/>
        </w:rPr>
        <w:t xml:space="preserve"> (Кваліфікаційні вимоги до Учасника);</w:t>
      </w:r>
    </w:p>
    <w:p w14:paraId="36119D2B" w14:textId="77777777"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D17F95" w:rsidRDefault="007545FF" w:rsidP="007545FF">
      <w:pPr>
        <w:pStyle w:val="ab"/>
        <w:spacing w:before="0" w:beforeAutospacing="0" w:after="0" w:afterAutospacing="0"/>
        <w:ind w:left="426"/>
        <w:jc w:val="both"/>
        <w:rPr>
          <w:rFonts w:ascii="Times New Roman" w:eastAsia="Times New Roman" w:hAnsi="Times New Roman" w:cs="Times New Roman"/>
          <w:sz w:val="22"/>
          <w:szCs w:val="22"/>
          <w:lang w:val="uk-UA"/>
        </w:rPr>
      </w:pPr>
    </w:p>
    <w:p w14:paraId="5F7E7F29" w14:textId="0C40459E" w:rsidR="00AD6D3B" w:rsidRPr="002344BA" w:rsidRDefault="1327F54A" w:rsidP="006C7714">
      <w:pPr>
        <w:ind w:firstLine="357"/>
        <w:jc w:val="both"/>
        <w:rPr>
          <w:sz w:val="22"/>
          <w:szCs w:val="22"/>
          <w:lang w:val="uk-UA"/>
        </w:rPr>
      </w:pPr>
      <w:r w:rsidRPr="002344BA">
        <w:rPr>
          <w:sz w:val="22"/>
          <w:szCs w:val="22"/>
          <w:lang w:val="uk-UA"/>
        </w:rPr>
        <w:lastRenderedPageBreak/>
        <w:t xml:space="preserve">Запитання щодо </w:t>
      </w:r>
      <w:r w:rsidR="00B93C90" w:rsidRPr="002344BA">
        <w:rPr>
          <w:sz w:val="22"/>
          <w:szCs w:val="22"/>
          <w:lang w:val="uk-UA"/>
        </w:rPr>
        <w:t xml:space="preserve">цінової </w:t>
      </w:r>
      <w:r w:rsidRPr="002344BA">
        <w:rPr>
          <w:sz w:val="22"/>
          <w:szCs w:val="22"/>
          <w:lang w:val="uk-UA"/>
        </w:rPr>
        <w:t xml:space="preserve">пропозиції надсилайте на адресу: </w:t>
      </w:r>
      <w:hyperlink r:id="rId11">
        <w:r w:rsidRPr="002344BA">
          <w:rPr>
            <w:rStyle w:val="ac"/>
            <w:sz w:val="22"/>
            <w:szCs w:val="22"/>
            <w:lang w:val="uk-UA"/>
          </w:rPr>
          <w:t>tender@redcross.org.ua</w:t>
        </w:r>
      </w:hyperlink>
      <w:r w:rsidRPr="002344BA">
        <w:rPr>
          <w:sz w:val="22"/>
          <w:szCs w:val="22"/>
          <w:lang w:val="uk-UA"/>
        </w:rPr>
        <w:t xml:space="preserve"> до 18:00 </w:t>
      </w:r>
      <w:r w:rsidR="00AF4D9F" w:rsidRPr="0034250A">
        <w:rPr>
          <w:strike/>
          <w:color w:val="FF0000"/>
          <w:sz w:val="22"/>
          <w:szCs w:val="22"/>
          <w:lang w:val="uk-UA"/>
        </w:rPr>
        <w:t>21.</w:t>
      </w:r>
      <w:r w:rsidR="00E07922" w:rsidRPr="0034250A">
        <w:rPr>
          <w:strike/>
          <w:color w:val="FF0000"/>
          <w:sz w:val="22"/>
          <w:szCs w:val="22"/>
          <w:lang w:val="uk-UA"/>
        </w:rPr>
        <w:t>0</w:t>
      </w:r>
      <w:r w:rsidR="00AF4D9F" w:rsidRPr="0034250A">
        <w:rPr>
          <w:strike/>
          <w:color w:val="FF0000"/>
          <w:sz w:val="22"/>
          <w:szCs w:val="22"/>
          <w:lang w:val="uk-UA"/>
        </w:rPr>
        <w:t>4</w:t>
      </w:r>
      <w:r w:rsidRPr="0034250A">
        <w:rPr>
          <w:strike/>
          <w:color w:val="FF0000"/>
          <w:sz w:val="22"/>
          <w:szCs w:val="22"/>
          <w:lang w:val="uk-UA"/>
        </w:rPr>
        <w:t>.202</w:t>
      </w:r>
      <w:r w:rsidR="00E07922" w:rsidRPr="0034250A">
        <w:rPr>
          <w:strike/>
          <w:color w:val="FF0000"/>
          <w:sz w:val="22"/>
          <w:szCs w:val="22"/>
          <w:lang w:val="uk-UA"/>
        </w:rPr>
        <w:t>5</w:t>
      </w:r>
      <w:r w:rsidRPr="0034250A">
        <w:rPr>
          <w:strike/>
          <w:color w:val="FF0000"/>
          <w:sz w:val="22"/>
          <w:szCs w:val="22"/>
          <w:lang w:val="uk-UA"/>
        </w:rPr>
        <w:t xml:space="preserve"> року</w:t>
      </w:r>
      <w:r w:rsidR="0034250A">
        <w:rPr>
          <w:sz w:val="22"/>
          <w:szCs w:val="22"/>
          <w:lang w:val="uk-UA"/>
        </w:rPr>
        <w:t xml:space="preserve">  </w:t>
      </w:r>
      <w:r w:rsidR="00A748C7">
        <w:rPr>
          <w:sz w:val="22"/>
          <w:szCs w:val="22"/>
          <w:lang w:val="uk-UA"/>
        </w:rPr>
        <w:t>28.04.2025 року</w:t>
      </w:r>
      <w:r w:rsidRPr="002344BA">
        <w:rPr>
          <w:sz w:val="22"/>
          <w:szCs w:val="22"/>
          <w:lang w:val="uk-UA"/>
        </w:rPr>
        <w:t>.</w:t>
      </w:r>
    </w:p>
    <w:p w14:paraId="55552565" w14:textId="08293775" w:rsidR="00AD6D3B" w:rsidRPr="002344BA" w:rsidRDefault="00AD6D3B" w:rsidP="006F07C6">
      <w:pPr>
        <w:ind w:firstLine="357"/>
        <w:jc w:val="both"/>
        <w:rPr>
          <w:sz w:val="22"/>
          <w:szCs w:val="22"/>
          <w:lang w:val="uk-UA"/>
        </w:rPr>
      </w:pPr>
      <w:r w:rsidRPr="002344BA">
        <w:rPr>
          <w:b/>
          <w:sz w:val="22"/>
          <w:szCs w:val="22"/>
          <w:lang w:val="uk-UA"/>
        </w:rPr>
        <w:t xml:space="preserve">КІНЦЕВИЙ ТЕРМІН ПРИЙМАННЯ </w:t>
      </w:r>
      <w:r w:rsidR="00345379" w:rsidRPr="002344BA">
        <w:rPr>
          <w:b/>
          <w:sz w:val="22"/>
          <w:szCs w:val="22"/>
          <w:lang w:val="uk-UA"/>
        </w:rPr>
        <w:t>ЦІНОВИХ</w:t>
      </w:r>
      <w:r w:rsidRPr="002344BA">
        <w:rPr>
          <w:b/>
          <w:sz w:val="22"/>
          <w:szCs w:val="22"/>
          <w:lang w:val="uk-UA"/>
        </w:rPr>
        <w:t xml:space="preserve"> ПРОПОЗИЦІЙ</w:t>
      </w:r>
      <w:r w:rsidRPr="002344BA">
        <w:rPr>
          <w:sz w:val="22"/>
          <w:szCs w:val="22"/>
          <w:lang w:val="uk-UA"/>
        </w:rPr>
        <w:t xml:space="preserve"> від учасників: </w:t>
      </w:r>
    </w:p>
    <w:p w14:paraId="3E886E94" w14:textId="3B92EEB4" w:rsidR="00AD6D3B" w:rsidRPr="002344BA" w:rsidRDefault="00AD6D3B" w:rsidP="006F07C6">
      <w:pPr>
        <w:ind w:right="-23" w:firstLine="357"/>
        <w:jc w:val="both"/>
        <w:rPr>
          <w:color w:val="FF0000"/>
          <w:sz w:val="22"/>
          <w:szCs w:val="22"/>
          <w:lang w:val="uk-UA"/>
        </w:rPr>
      </w:pPr>
      <w:r w:rsidRPr="00A748C7">
        <w:rPr>
          <w:b/>
          <w:strike/>
          <w:color w:val="FF0000"/>
          <w:sz w:val="22"/>
          <w:szCs w:val="22"/>
          <w:lang w:val="uk-UA"/>
        </w:rPr>
        <w:t xml:space="preserve"> «</w:t>
      </w:r>
      <w:r w:rsidR="00AF4D9F" w:rsidRPr="00A748C7">
        <w:rPr>
          <w:b/>
          <w:strike/>
          <w:color w:val="FF0000"/>
          <w:sz w:val="22"/>
          <w:szCs w:val="22"/>
          <w:lang w:val="uk-UA"/>
        </w:rPr>
        <w:t>22</w:t>
      </w:r>
      <w:r w:rsidRPr="00A748C7">
        <w:rPr>
          <w:b/>
          <w:strike/>
          <w:color w:val="FF0000"/>
          <w:sz w:val="22"/>
          <w:szCs w:val="22"/>
          <w:lang w:val="uk-UA"/>
        </w:rPr>
        <w:t xml:space="preserve">» </w:t>
      </w:r>
      <w:r w:rsidR="00AF4D9F" w:rsidRPr="00A748C7">
        <w:rPr>
          <w:b/>
          <w:strike/>
          <w:color w:val="FF0000"/>
          <w:sz w:val="22"/>
          <w:szCs w:val="22"/>
          <w:lang w:val="uk-UA"/>
        </w:rPr>
        <w:t>квітня</w:t>
      </w:r>
      <w:r w:rsidRPr="00A748C7">
        <w:rPr>
          <w:b/>
          <w:strike/>
          <w:color w:val="FF0000"/>
          <w:sz w:val="22"/>
          <w:szCs w:val="22"/>
          <w:lang w:val="uk-UA"/>
        </w:rPr>
        <w:t xml:space="preserve"> 202</w:t>
      </w:r>
      <w:r w:rsidR="00E07922" w:rsidRPr="00A748C7">
        <w:rPr>
          <w:b/>
          <w:strike/>
          <w:color w:val="FF0000"/>
          <w:sz w:val="22"/>
          <w:szCs w:val="22"/>
          <w:lang w:val="uk-UA"/>
        </w:rPr>
        <w:t>5</w:t>
      </w:r>
      <w:r w:rsidRPr="00A748C7">
        <w:rPr>
          <w:b/>
          <w:strike/>
          <w:color w:val="FF0000"/>
          <w:sz w:val="22"/>
          <w:szCs w:val="22"/>
          <w:lang w:val="uk-UA"/>
        </w:rPr>
        <w:t xml:space="preserve"> рок</w:t>
      </w:r>
      <w:r w:rsidR="00570092" w:rsidRPr="00A748C7">
        <w:rPr>
          <w:b/>
          <w:strike/>
          <w:color w:val="FF0000"/>
          <w:sz w:val="22"/>
          <w:szCs w:val="22"/>
          <w:lang w:val="uk-UA"/>
        </w:rPr>
        <w:t>у</w:t>
      </w:r>
      <w:r w:rsidR="00A748C7">
        <w:rPr>
          <w:b/>
          <w:sz w:val="22"/>
          <w:szCs w:val="22"/>
          <w:lang w:val="uk-UA"/>
        </w:rPr>
        <w:t xml:space="preserve">   </w:t>
      </w:r>
      <w:r w:rsidR="00A748C7" w:rsidRPr="002344BA">
        <w:rPr>
          <w:b/>
          <w:color w:val="FF0000"/>
          <w:sz w:val="22"/>
          <w:szCs w:val="22"/>
          <w:lang w:val="uk-UA"/>
        </w:rPr>
        <w:t xml:space="preserve"> </w:t>
      </w:r>
      <w:r w:rsidR="00A748C7" w:rsidRPr="002344BA">
        <w:rPr>
          <w:b/>
          <w:sz w:val="22"/>
          <w:szCs w:val="22"/>
          <w:lang w:val="uk-UA"/>
        </w:rPr>
        <w:t>«2</w:t>
      </w:r>
      <w:r w:rsidR="00A748C7">
        <w:rPr>
          <w:b/>
          <w:sz w:val="22"/>
          <w:szCs w:val="22"/>
          <w:lang w:val="uk-UA"/>
        </w:rPr>
        <w:t>9</w:t>
      </w:r>
      <w:r w:rsidR="00A748C7" w:rsidRPr="002344BA">
        <w:rPr>
          <w:b/>
          <w:sz w:val="22"/>
          <w:szCs w:val="22"/>
          <w:lang w:val="uk-UA"/>
        </w:rPr>
        <w:t>» квітня 2025 року</w:t>
      </w:r>
      <w:r w:rsidRPr="002344BA">
        <w:rPr>
          <w:b/>
          <w:sz w:val="22"/>
          <w:szCs w:val="22"/>
          <w:lang w:val="uk-UA"/>
        </w:rPr>
        <w:t>.</w:t>
      </w:r>
    </w:p>
    <w:p w14:paraId="13070A45" w14:textId="77777777" w:rsidR="00AD6D3B" w:rsidRPr="002344BA" w:rsidRDefault="00AD6D3B" w:rsidP="006F07C6">
      <w:pPr>
        <w:ind w:firstLine="357"/>
        <w:jc w:val="both"/>
        <w:rPr>
          <w:sz w:val="22"/>
          <w:szCs w:val="22"/>
          <w:lang w:val="uk-UA"/>
        </w:rPr>
      </w:pPr>
    </w:p>
    <w:p w14:paraId="52EBF910" w14:textId="407836F3" w:rsidR="00E27AFC" w:rsidRPr="002344BA" w:rsidRDefault="00345379" w:rsidP="00E27AFC">
      <w:pPr>
        <w:ind w:firstLine="357"/>
        <w:jc w:val="both"/>
        <w:rPr>
          <w:b/>
          <w:sz w:val="22"/>
          <w:szCs w:val="22"/>
          <w:u w:val="single"/>
          <w:lang w:val="uk-UA"/>
        </w:rPr>
      </w:pPr>
      <w:r w:rsidRPr="002344BA">
        <w:rPr>
          <w:b/>
          <w:sz w:val="22"/>
          <w:szCs w:val="22"/>
          <w:u w:val="single"/>
          <w:lang w:val="uk-UA"/>
        </w:rPr>
        <w:t>ЦІНОВІ</w:t>
      </w:r>
      <w:r w:rsidR="00E27AFC" w:rsidRPr="002344BA">
        <w:rPr>
          <w:b/>
          <w:sz w:val="22"/>
          <w:szCs w:val="22"/>
          <w:u w:val="single"/>
          <w:lang w:val="uk-UA"/>
        </w:rPr>
        <w:t xml:space="preserve"> ПРОПОЗИЦІЇ ПРИЙМАЮТЬСЯ НА ЗАХИЩЕНУ ЕЛЕКТРОННУ АДРЕСУ:</w:t>
      </w:r>
    </w:p>
    <w:p w14:paraId="41BEAC69" w14:textId="77777777" w:rsidR="00E27AFC" w:rsidRPr="002344BA" w:rsidRDefault="00E27AFC" w:rsidP="00E27AFC">
      <w:pPr>
        <w:ind w:firstLine="357"/>
        <w:jc w:val="both"/>
        <w:rPr>
          <w:b/>
          <w:bCs/>
          <w:lang w:val="uk-UA"/>
        </w:rPr>
      </w:pPr>
      <w:hyperlink r:id="rId12" w:history="1">
        <w:r w:rsidRPr="002344BA">
          <w:rPr>
            <w:rStyle w:val="ac"/>
            <w:b/>
            <w:bCs/>
            <w:lang w:val="uk-UA"/>
          </w:rPr>
          <w:t>tender.committee@redcross.org.ua</w:t>
        </w:r>
      </w:hyperlink>
    </w:p>
    <w:p w14:paraId="4AE90A91" w14:textId="77777777" w:rsidR="00E27AFC" w:rsidRPr="002344BA" w:rsidRDefault="00E27AFC" w:rsidP="00E27AFC">
      <w:pPr>
        <w:ind w:firstLine="357"/>
        <w:jc w:val="both"/>
        <w:rPr>
          <w:sz w:val="22"/>
          <w:szCs w:val="22"/>
          <w:lang w:val="uk-UA"/>
        </w:rPr>
      </w:pPr>
    </w:p>
    <w:p w14:paraId="69472F05" w14:textId="31C55113" w:rsidR="00E27AFC" w:rsidRPr="002344BA" w:rsidRDefault="00E27AFC" w:rsidP="00E27AFC">
      <w:pPr>
        <w:ind w:firstLine="357"/>
        <w:jc w:val="both"/>
        <w:rPr>
          <w:sz w:val="22"/>
          <w:szCs w:val="22"/>
          <w:lang w:val="uk-UA"/>
        </w:rPr>
      </w:pPr>
      <w:r w:rsidRPr="002344BA">
        <w:rPr>
          <w:b/>
          <w:bCs/>
          <w:iCs/>
          <w:sz w:val="22"/>
          <w:szCs w:val="22"/>
          <w:lang w:val="uk-UA"/>
        </w:rPr>
        <w:t xml:space="preserve">РОЗКРИТТЯ </w:t>
      </w:r>
      <w:r w:rsidR="00345379" w:rsidRPr="002344BA">
        <w:rPr>
          <w:b/>
          <w:bCs/>
          <w:iCs/>
          <w:sz w:val="22"/>
          <w:szCs w:val="22"/>
          <w:lang w:val="uk-UA"/>
        </w:rPr>
        <w:t>ЦІНОВ</w:t>
      </w:r>
      <w:r w:rsidR="00D53B41" w:rsidRPr="002344BA">
        <w:rPr>
          <w:b/>
          <w:bCs/>
          <w:iCs/>
          <w:sz w:val="22"/>
          <w:szCs w:val="22"/>
          <w:lang w:val="uk-UA"/>
        </w:rPr>
        <w:t>ИХ</w:t>
      </w:r>
      <w:r w:rsidRPr="002344BA">
        <w:rPr>
          <w:b/>
          <w:bCs/>
          <w:iCs/>
          <w:sz w:val="22"/>
          <w:szCs w:val="22"/>
          <w:lang w:val="uk-UA"/>
        </w:rPr>
        <w:t xml:space="preserve"> ПРОПОЗИЦІЙ УЧАСНИКІВ ВІДБУДЕТЬСЯ</w:t>
      </w:r>
      <w:r w:rsidRPr="002344BA">
        <w:rPr>
          <w:sz w:val="22"/>
          <w:szCs w:val="22"/>
          <w:lang w:val="uk-UA"/>
        </w:rPr>
        <w:t>:</w:t>
      </w:r>
    </w:p>
    <w:p w14:paraId="6AE3C48E" w14:textId="2818FA10" w:rsidR="00E27AFC" w:rsidRPr="002344BA" w:rsidRDefault="00E27AFC" w:rsidP="00E27AFC">
      <w:pPr>
        <w:ind w:firstLine="357"/>
        <w:jc w:val="both"/>
        <w:rPr>
          <w:sz w:val="22"/>
          <w:szCs w:val="22"/>
          <w:lang w:val="uk-UA"/>
        </w:rPr>
      </w:pPr>
      <w:r w:rsidRPr="002344BA">
        <w:rPr>
          <w:sz w:val="22"/>
          <w:szCs w:val="22"/>
          <w:lang w:val="uk-UA"/>
        </w:rPr>
        <w:t xml:space="preserve"> </w:t>
      </w:r>
      <w:r w:rsidRPr="00A748C7">
        <w:rPr>
          <w:b/>
          <w:strike/>
          <w:color w:val="FF0000"/>
          <w:sz w:val="22"/>
          <w:szCs w:val="22"/>
          <w:lang w:val="uk-UA"/>
        </w:rPr>
        <w:t>«</w:t>
      </w:r>
      <w:r w:rsidR="00EB44A8" w:rsidRPr="00A748C7">
        <w:rPr>
          <w:b/>
          <w:strike/>
          <w:color w:val="FF0000"/>
          <w:sz w:val="22"/>
          <w:szCs w:val="22"/>
          <w:lang w:val="uk-UA"/>
        </w:rPr>
        <w:t>23</w:t>
      </w:r>
      <w:r w:rsidRPr="00A748C7">
        <w:rPr>
          <w:b/>
          <w:strike/>
          <w:color w:val="FF0000"/>
          <w:sz w:val="22"/>
          <w:szCs w:val="22"/>
          <w:lang w:val="uk-UA"/>
        </w:rPr>
        <w:t xml:space="preserve">» </w:t>
      </w:r>
      <w:r w:rsidR="00EB44A8" w:rsidRPr="00A748C7">
        <w:rPr>
          <w:b/>
          <w:strike/>
          <w:color w:val="FF0000"/>
          <w:sz w:val="22"/>
          <w:szCs w:val="22"/>
          <w:lang w:val="uk-UA"/>
        </w:rPr>
        <w:t>квітня</w:t>
      </w:r>
      <w:r w:rsidRPr="00A748C7">
        <w:rPr>
          <w:b/>
          <w:strike/>
          <w:color w:val="FF0000"/>
          <w:sz w:val="22"/>
          <w:szCs w:val="22"/>
          <w:lang w:val="uk-UA"/>
        </w:rPr>
        <w:t xml:space="preserve"> 202</w:t>
      </w:r>
      <w:r w:rsidR="00EB44A8" w:rsidRPr="00A748C7">
        <w:rPr>
          <w:b/>
          <w:strike/>
          <w:color w:val="FF0000"/>
          <w:sz w:val="22"/>
          <w:szCs w:val="22"/>
          <w:lang w:val="uk-UA"/>
        </w:rPr>
        <w:t>5</w:t>
      </w:r>
      <w:r w:rsidRPr="00A748C7">
        <w:rPr>
          <w:b/>
          <w:strike/>
          <w:color w:val="FF0000"/>
          <w:sz w:val="22"/>
          <w:szCs w:val="22"/>
          <w:lang w:val="uk-UA"/>
        </w:rPr>
        <w:t xml:space="preserve"> року</w:t>
      </w:r>
      <w:r w:rsidRPr="00A748C7">
        <w:rPr>
          <w:color w:val="FF0000"/>
          <w:sz w:val="22"/>
          <w:szCs w:val="22"/>
          <w:lang w:val="uk-UA"/>
        </w:rPr>
        <w:t xml:space="preserve"> </w:t>
      </w:r>
      <w:r w:rsidR="00A748C7" w:rsidRPr="00A748C7">
        <w:rPr>
          <w:color w:val="FF0000"/>
          <w:sz w:val="22"/>
          <w:szCs w:val="22"/>
          <w:lang w:val="uk-UA"/>
        </w:rPr>
        <w:t xml:space="preserve"> </w:t>
      </w:r>
      <w:r w:rsidR="00A748C7" w:rsidRPr="002344BA">
        <w:rPr>
          <w:b/>
          <w:sz w:val="22"/>
          <w:szCs w:val="22"/>
          <w:lang w:val="uk-UA"/>
        </w:rPr>
        <w:t>«</w:t>
      </w:r>
      <w:r w:rsidR="00A748C7">
        <w:rPr>
          <w:b/>
          <w:sz w:val="22"/>
          <w:szCs w:val="22"/>
          <w:lang w:val="uk-UA"/>
        </w:rPr>
        <w:t>30</w:t>
      </w:r>
      <w:r w:rsidR="00A748C7" w:rsidRPr="002344BA">
        <w:rPr>
          <w:b/>
          <w:sz w:val="22"/>
          <w:szCs w:val="22"/>
          <w:lang w:val="uk-UA"/>
        </w:rPr>
        <w:t>» квітня 2025 року</w:t>
      </w:r>
      <w:r w:rsidR="00A748C7" w:rsidRPr="002344BA">
        <w:rPr>
          <w:sz w:val="22"/>
          <w:szCs w:val="22"/>
          <w:lang w:val="uk-UA"/>
        </w:rPr>
        <w:t xml:space="preserve">  </w:t>
      </w:r>
      <w:r w:rsidRPr="002344BA">
        <w:rPr>
          <w:sz w:val="22"/>
          <w:szCs w:val="22"/>
          <w:lang w:val="uk-UA"/>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2344BA" w:rsidRDefault="00E27AFC" w:rsidP="00E27AFC">
      <w:pPr>
        <w:pStyle w:val="ab"/>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2344BA" w:rsidRDefault="00E27AFC" w:rsidP="00E27AFC">
      <w:pPr>
        <w:ind w:firstLine="357"/>
        <w:jc w:val="center"/>
        <w:rPr>
          <w:b/>
          <w:sz w:val="22"/>
          <w:szCs w:val="22"/>
          <w:lang w:val="uk-UA"/>
        </w:rPr>
      </w:pPr>
      <w:r w:rsidRPr="002344BA">
        <w:rPr>
          <w:b/>
          <w:sz w:val="22"/>
          <w:szCs w:val="22"/>
          <w:lang w:val="uk-UA"/>
        </w:rPr>
        <w:t xml:space="preserve">V. Правила подання та оформлення </w:t>
      </w:r>
      <w:r w:rsidR="00E37FCD" w:rsidRPr="002344BA">
        <w:rPr>
          <w:b/>
          <w:sz w:val="22"/>
          <w:szCs w:val="22"/>
          <w:lang w:val="uk-UA"/>
        </w:rPr>
        <w:t>цінової</w:t>
      </w:r>
      <w:r w:rsidRPr="002344BA">
        <w:rPr>
          <w:b/>
          <w:sz w:val="22"/>
          <w:szCs w:val="22"/>
          <w:lang w:val="uk-UA"/>
        </w:rPr>
        <w:t xml:space="preserve"> пропозиції Учасника:</w:t>
      </w:r>
    </w:p>
    <w:p w14:paraId="1615AB70" w14:textId="77777777" w:rsidR="00E27AFC" w:rsidRPr="00E07922" w:rsidRDefault="00E27AFC" w:rsidP="00E27AFC">
      <w:pPr>
        <w:widowControl w:val="0"/>
        <w:numPr>
          <w:ilvl w:val="1"/>
          <w:numId w:val="27"/>
        </w:numPr>
        <w:ind w:left="0" w:firstLine="357"/>
        <w:jc w:val="both"/>
        <w:rPr>
          <w:noProof/>
          <w:sz w:val="22"/>
          <w:szCs w:val="22"/>
          <w:lang w:val="uk-UA"/>
        </w:rPr>
      </w:pPr>
      <w:r w:rsidRPr="002344BA">
        <w:rPr>
          <w:sz w:val="22"/>
          <w:szCs w:val="22"/>
          <w:lang w:val="uk-UA"/>
        </w:rPr>
        <w:t xml:space="preserve">Учасники мають подавати пропозиції на захищену електронну адресу: </w:t>
      </w:r>
      <w:hyperlink r:id="rId13" w:history="1">
        <w:r w:rsidRPr="002344BA">
          <w:rPr>
            <w:rStyle w:val="ac"/>
            <w:b/>
            <w:bCs/>
            <w:sz w:val="22"/>
            <w:szCs w:val="22"/>
            <w:lang w:val="uk-UA"/>
          </w:rPr>
          <w:t>tender.committee@redcross.org.ua</w:t>
        </w:r>
      </w:hyperlink>
      <w:r w:rsidRPr="002344BA">
        <w:rPr>
          <w:sz w:val="22"/>
          <w:szCs w:val="22"/>
          <w:lang w:val="uk-UA"/>
        </w:rPr>
        <w:t>, доступ до якої мають виключно члени тендерного комітету. Для забезпечення конфіденційності та безпеки процесу, пароль</w:t>
      </w:r>
      <w:r w:rsidRPr="00E07922">
        <w:rPr>
          <w:sz w:val="22"/>
          <w:szCs w:val="22"/>
          <w:lang w:val="uk-UA"/>
        </w:rPr>
        <w:t xml:space="preserve"> для доступу до електронної скриньки </w:t>
      </w:r>
      <w:r w:rsidRPr="00E07922">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E07922">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E07922">
        <w:rPr>
          <w:noProof/>
          <w:sz w:val="22"/>
          <w:szCs w:val="22"/>
          <w:lang w:val="uk-UA"/>
        </w:rPr>
        <w:t>Цінова</w:t>
      </w:r>
      <w:r w:rsidRPr="00E07922">
        <w:rPr>
          <w:noProof/>
          <w:sz w:val="22"/>
          <w:szCs w:val="22"/>
          <w:lang w:val="uk-UA"/>
        </w:rPr>
        <w:t xml:space="preserve"> пропозиція має</w:t>
      </w:r>
      <w:r w:rsidRPr="00AD7DCC">
        <w:rPr>
          <w:noProof/>
          <w:sz w:val="22"/>
          <w:szCs w:val="22"/>
          <w:lang w:val="uk-UA"/>
        </w:rPr>
        <w:t xml:space="preserve">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1AA1D2DD" w14:textId="1E8F4005" w:rsidR="00E27AFC" w:rsidRPr="00ED32AC" w:rsidRDefault="00E27AFC" w:rsidP="00E27AFC">
      <w:pPr>
        <w:jc w:val="both"/>
        <w:rPr>
          <w:b/>
          <w:bCs/>
          <w:lang w:val="uk-UA"/>
        </w:rPr>
      </w:pPr>
      <w:r w:rsidRPr="00AD7DCC">
        <w:rPr>
          <w:noProof/>
          <w:sz w:val="22"/>
          <w:szCs w:val="22"/>
          <w:lang w:val="uk-UA"/>
        </w:rPr>
        <w:t>У темі листа має бути зазначено:</w:t>
      </w:r>
      <w:r w:rsidR="00A226D7" w:rsidRPr="00AD7DCC">
        <w:rPr>
          <w:noProof/>
          <w:sz w:val="22"/>
          <w:szCs w:val="22"/>
          <w:lang w:val="uk-UA"/>
        </w:rPr>
        <w:t xml:space="preserve"> </w:t>
      </w:r>
      <w:r w:rsidRPr="00C24D64">
        <w:rPr>
          <w:b/>
          <w:noProof/>
          <w:sz w:val="22"/>
          <w:szCs w:val="22"/>
          <w:lang w:val="uk-UA"/>
        </w:rPr>
        <w:t>№</w:t>
      </w:r>
      <w:r w:rsidR="00ED32AC">
        <w:rPr>
          <w:b/>
          <w:bCs/>
          <w:sz w:val="22"/>
          <w:szCs w:val="22"/>
          <w:lang w:val="uk-UA"/>
        </w:rPr>
        <w:t>1881ОК</w:t>
      </w:r>
      <w:r w:rsidRPr="00C24D64">
        <w:rPr>
          <w:b/>
          <w:bCs/>
          <w:noProof/>
          <w:sz w:val="22"/>
          <w:szCs w:val="22"/>
          <w:lang w:val="uk-UA"/>
        </w:rPr>
        <w:t>.</w:t>
      </w:r>
      <w:r w:rsidRPr="00AD7DCC">
        <w:rPr>
          <w:b/>
          <w:bCs/>
          <w:noProof/>
          <w:color w:val="FF0000"/>
          <w:sz w:val="22"/>
          <w:szCs w:val="22"/>
          <w:lang w:val="uk-UA"/>
        </w:rPr>
        <w:t xml:space="preserve"> НАЗВА УЧАСНИКА.</w:t>
      </w:r>
      <w:r w:rsidRPr="00AD7DCC">
        <w:rPr>
          <w:noProof/>
          <w:color w:val="FF0000"/>
          <w:sz w:val="22"/>
          <w:szCs w:val="22"/>
          <w:lang w:val="uk-UA"/>
        </w:rPr>
        <w:t xml:space="preserve"> </w:t>
      </w:r>
      <w:r w:rsidR="00C24D64" w:rsidRPr="00C24D64">
        <w:rPr>
          <w:b/>
          <w:bCs/>
          <w:lang w:val="uk-UA"/>
        </w:rPr>
        <w:t xml:space="preserve">Послуги з </w:t>
      </w:r>
      <w:r w:rsidR="00ED32AC" w:rsidRPr="00ED32AC">
        <w:rPr>
          <w:b/>
          <w:bCs/>
          <w:lang w:val="uk-UA"/>
        </w:rPr>
        <w:t>оцінки основних засобів</w:t>
      </w:r>
      <w:r w:rsidR="00C24D64" w:rsidRPr="00C24D64">
        <w:rPr>
          <w:b/>
          <w:bCs/>
          <w:lang w:val="uk-UA"/>
        </w:rPr>
        <w:t>.</w:t>
      </w:r>
      <w:r w:rsidR="00C24D64" w:rsidRPr="00ED32AC">
        <w:rPr>
          <w:b/>
          <w:bCs/>
          <w:lang w:val="uk-UA"/>
        </w:rPr>
        <w:t xml:space="preserve"> </w:t>
      </w:r>
    </w:p>
    <w:p w14:paraId="4D233AB5" w14:textId="2BB01D38" w:rsidR="00E27AFC" w:rsidRPr="00AD7DCC" w:rsidRDefault="00E27AFC" w:rsidP="00E27AFC">
      <w:pPr>
        <w:jc w:val="both"/>
        <w:rPr>
          <w:b/>
          <w:noProof/>
          <w:sz w:val="22"/>
          <w:szCs w:val="22"/>
          <w:lang w:val="uk-UA"/>
        </w:rPr>
      </w:pP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00C24D64" w:rsidRPr="00C24D64">
        <w:rPr>
          <w:b/>
          <w:noProof/>
          <w:sz w:val="22"/>
          <w:szCs w:val="22"/>
          <w:lang w:val="uk-UA"/>
        </w:rPr>
        <w:t>№</w:t>
      </w:r>
      <w:r w:rsidR="00ED32AC">
        <w:rPr>
          <w:b/>
          <w:bCs/>
          <w:sz w:val="22"/>
          <w:szCs w:val="22"/>
          <w:lang w:val="uk-UA"/>
        </w:rPr>
        <w:t>1881ОК</w:t>
      </w:r>
      <w:r w:rsidR="00ED32AC" w:rsidRPr="00C24D64">
        <w:rPr>
          <w:b/>
          <w:bCs/>
          <w:noProof/>
          <w:sz w:val="22"/>
          <w:szCs w:val="22"/>
          <w:lang w:val="uk-UA"/>
        </w:rPr>
        <w:t>.</w:t>
      </w:r>
      <w:r w:rsidR="00ED32AC" w:rsidRPr="00AD7DCC">
        <w:rPr>
          <w:b/>
          <w:bCs/>
          <w:noProof/>
          <w:color w:val="FF0000"/>
          <w:sz w:val="22"/>
          <w:szCs w:val="22"/>
          <w:lang w:val="uk-UA"/>
        </w:rPr>
        <w:t xml:space="preserve"> НАЗВА УЧАСНИКА.</w:t>
      </w:r>
      <w:r w:rsidR="00ED32AC" w:rsidRPr="00AD7DCC">
        <w:rPr>
          <w:noProof/>
          <w:color w:val="FF0000"/>
          <w:sz w:val="22"/>
          <w:szCs w:val="22"/>
          <w:lang w:val="uk-UA"/>
        </w:rPr>
        <w:t xml:space="preserve"> </w:t>
      </w:r>
      <w:r w:rsidR="00ED32AC" w:rsidRPr="00C24D64">
        <w:rPr>
          <w:b/>
          <w:bCs/>
          <w:lang w:val="uk-UA"/>
        </w:rPr>
        <w:t xml:space="preserve">Послуги з </w:t>
      </w:r>
      <w:r w:rsidR="00ED32AC" w:rsidRPr="00ED32AC">
        <w:rPr>
          <w:b/>
          <w:bCs/>
          <w:lang w:val="uk-UA"/>
        </w:rPr>
        <w:t>оцінки основних засобів</w:t>
      </w:r>
      <w:r w:rsidR="00ED32AC" w:rsidRPr="00AD7DCC">
        <w:rPr>
          <w:b/>
          <w:noProof/>
          <w:sz w:val="22"/>
          <w:szCs w:val="22"/>
          <w:lang w:val="uk-UA"/>
        </w:rPr>
        <w:t xml:space="preserve"> </w:t>
      </w:r>
      <w:r w:rsidRPr="00AD7DCC">
        <w:rPr>
          <w:b/>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lastRenderedPageBreak/>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0"/>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0"/>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c"/>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5948DCD0" w14:textId="498F3A84" w:rsidR="008C7C5E" w:rsidRPr="007530BA" w:rsidRDefault="00A6690A" w:rsidP="007530BA">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4034C4">
        <w:rPr>
          <w:rStyle w:val="hps"/>
          <w:sz w:val="22"/>
          <w:szCs w:val="22"/>
          <w:lang w:val="uk-UA"/>
        </w:rPr>
        <w:t xml:space="preserve">Спочатку серед поданих </w:t>
      </w:r>
      <w:r w:rsidR="0085481F" w:rsidRPr="004034C4">
        <w:rPr>
          <w:sz w:val="22"/>
          <w:szCs w:val="22"/>
          <w:lang w:val="uk-UA"/>
        </w:rPr>
        <w:t>цінов</w:t>
      </w:r>
      <w:r w:rsidRPr="004034C4">
        <w:rPr>
          <w:rStyle w:val="hps"/>
          <w:sz w:val="22"/>
          <w:szCs w:val="22"/>
          <w:lang w:val="uk-UA"/>
        </w:rPr>
        <w:t>их</w:t>
      </w:r>
      <w:r w:rsidRPr="0010517A">
        <w:rPr>
          <w:rStyle w:val="hps"/>
          <w:sz w:val="22"/>
          <w:szCs w:val="22"/>
          <w:lang w:val="uk-UA"/>
        </w:rPr>
        <w:t xml:space="preserve"> пропозицій </w:t>
      </w:r>
      <w:r w:rsidRPr="0010517A">
        <w:rPr>
          <w:spacing w:val="-4"/>
          <w:sz w:val="22"/>
          <w:szCs w:val="22"/>
          <w:lang w:val="uk-UA"/>
        </w:rPr>
        <w:t xml:space="preserve">Тендерним комітетом </w:t>
      </w:r>
      <w:r w:rsidRPr="0010517A">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10517A">
        <w:rPr>
          <w:rStyle w:val="hps"/>
          <w:sz w:val="22"/>
          <w:szCs w:val="22"/>
          <w:lang w:val="uk-UA"/>
        </w:rPr>
        <w:t>Запиті</w:t>
      </w:r>
      <w:r w:rsidRPr="0010517A">
        <w:rPr>
          <w:rStyle w:val="hps"/>
          <w:sz w:val="22"/>
          <w:szCs w:val="22"/>
          <w:lang w:val="uk-UA"/>
        </w:rPr>
        <w:t>.</w:t>
      </w:r>
      <w:r w:rsidR="007325F2" w:rsidRPr="0010517A">
        <w:rPr>
          <w:rStyle w:val="hps"/>
          <w:sz w:val="22"/>
          <w:szCs w:val="22"/>
          <w:lang w:val="uk-UA"/>
        </w:rPr>
        <w:t xml:space="preserve"> </w:t>
      </w:r>
    </w:p>
    <w:p w14:paraId="4D58237A" w14:textId="4EAF4DD7" w:rsidR="00A6690A" w:rsidRPr="00AE1EF2" w:rsidRDefault="00117B03" w:rsidP="00117B03">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Pr="0085481F">
        <w:rPr>
          <w:b/>
          <w:spacing w:val="-4"/>
          <w:sz w:val="22"/>
          <w:szCs w:val="22"/>
          <w:lang w:val="uk-UA"/>
        </w:rPr>
        <w:t>цінов</w:t>
      </w:r>
      <w:r>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401"/>
        <w:gridCol w:w="5781"/>
        <w:gridCol w:w="1590"/>
      </w:tblGrid>
      <w:tr w:rsidR="00B36636" w:rsidRPr="004805DD" w14:paraId="0B94A0B9" w14:textId="77777777" w:rsidTr="00370B5F">
        <w:tc>
          <w:tcPr>
            <w:tcW w:w="434" w:type="dxa"/>
            <w:vMerge w:val="restart"/>
            <w:shd w:val="clear" w:color="auto" w:fill="E7E6E6"/>
            <w:vAlign w:val="center"/>
          </w:tcPr>
          <w:p w14:paraId="4955E141"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bookmarkStart w:id="2" w:name="_Hlk185516272"/>
            <w:r w:rsidRPr="004805DD">
              <w:rPr>
                <w:rFonts w:ascii="Times New Roman" w:eastAsia="Times New Roman" w:hAnsi="Times New Roman" w:cs="Times New Roman"/>
                <w:b/>
                <w:spacing w:val="-4"/>
                <w:sz w:val="22"/>
                <w:szCs w:val="22"/>
                <w:lang w:val="uk-UA"/>
              </w:rPr>
              <w:t>№</w:t>
            </w:r>
          </w:p>
        </w:tc>
        <w:tc>
          <w:tcPr>
            <w:tcW w:w="2401" w:type="dxa"/>
            <w:vMerge w:val="restart"/>
            <w:shd w:val="clear" w:color="auto" w:fill="E7E6E6"/>
            <w:vAlign w:val="center"/>
          </w:tcPr>
          <w:p w14:paraId="7EAF490F"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371" w:type="dxa"/>
            <w:gridSpan w:val="2"/>
            <w:shd w:val="clear" w:color="auto" w:fill="E7E6E6"/>
            <w:vAlign w:val="center"/>
          </w:tcPr>
          <w:p w14:paraId="2592CB79" w14:textId="0B8C6D1F"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370B5F">
        <w:tc>
          <w:tcPr>
            <w:tcW w:w="434" w:type="dxa"/>
            <w:vMerge/>
            <w:shd w:val="clear" w:color="auto" w:fill="E7E6E6"/>
            <w:vAlign w:val="center"/>
          </w:tcPr>
          <w:p w14:paraId="5FE6A2C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401" w:type="dxa"/>
            <w:vMerge/>
            <w:shd w:val="clear" w:color="auto" w:fill="E7E6E6"/>
            <w:vAlign w:val="center"/>
          </w:tcPr>
          <w:p w14:paraId="2DFFE11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5781" w:type="dxa"/>
            <w:shd w:val="clear" w:color="auto" w:fill="E7E6E6"/>
            <w:vAlign w:val="center"/>
          </w:tcPr>
          <w:p w14:paraId="4C6B3B05"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90" w:type="dxa"/>
            <w:shd w:val="clear" w:color="auto" w:fill="E7E6E6"/>
            <w:vAlign w:val="center"/>
          </w:tcPr>
          <w:p w14:paraId="48C41ED6"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370B5F">
        <w:trPr>
          <w:trHeight w:val="77"/>
        </w:trPr>
        <w:tc>
          <w:tcPr>
            <w:tcW w:w="434" w:type="dxa"/>
            <w:shd w:val="clear" w:color="auto" w:fill="auto"/>
          </w:tcPr>
          <w:p w14:paraId="70E5D06A" w14:textId="77777777" w:rsidR="00B36636" w:rsidRPr="004D12AF"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401" w:type="dxa"/>
            <w:shd w:val="clear" w:color="auto" w:fill="auto"/>
          </w:tcPr>
          <w:p w14:paraId="3B7962E7" w14:textId="77777777" w:rsidR="00B36636" w:rsidRPr="005658C8" w:rsidRDefault="00B36636" w:rsidP="00947CCF">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Ціна пропозиції</w:t>
            </w:r>
          </w:p>
        </w:tc>
        <w:tc>
          <w:tcPr>
            <w:tcW w:w="7371" w:type="dxa"/>
            <w:gridSpan w:val="2"/>
            <w:shd w:val="clear" w:color="auto" w:fill="auto"/>
          </w:tcPr>
          <w:p w14:paraId="3AD3FD14" w14:textId="6E3E4FF5" w:rsidR="00B36636" w:rsidRPr="005658C8"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До </w:t>
            </w:r>
            <w:r w:rsidR="004034C4" w:rsidRPr="005658C8">
              <w:rPr>
                <w:rFonts w:ascii="Times New Roman" w:eastAsia="Times New Roman" w:hAnsi="Times New Roman" w:cs="Times New Roman"/>
                <w:bCs/>
                <w:spacing w:val="-4"/>
                <w:sz w:val="22"/>
                <w:szCs w:val="22"/>
                <w:lang w:val="uk-UA"/>
              </w:rPr>
              <w:t>6</w:t>
            </w:r>
            <w:r w:rsidRPr="005658C8">
              <w:rPr>
                <w:rFonts w:ascii="Times New Roman" w:eastAsia="Times New Roman" w:hAnsi="Times New Roman" w:cs="Times New Roman"/>
                <w:bCs/>
                <w:spacing w:val="-4"/>
                <w:sz w:val="22"/>
                <w:szCs w:val="22"/>
                <w:lang w:val="uk-UA"/>
              </w:rPr>
              <w:t>0</w:t>
            </w:r>
          </w:p>
        </w:tc>
      </w:tr>
      <w:tr w:rsidR="00B36636" w:rsidRPr="004805DD" w14:paraId="0B5D70A3" w14:textId="77777777" w:rsidTr="00370B5F">
        <w:trPr>
          <w:trHeight w:val="450"/>
        </w:trPr>
        <w:tc>
          <w:tcPr>
            <w:tcW w:w="434" w:type="dxa"/>
            <w:shd w:val="clear" w:color="auto" w:fill="auto"/>
            <w:vAlign w:val="center"/>
          </w:tcPr>
          <w:p w14:paraId="3D468E5F" w14:textId="77777777" w:rsidR="00B36636" w:rsidRPr="004D12AF"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401" w:type="dxa"/>
            <w:shd w:val="clear" w:color="auto" w:fill="auto"/>
            <w:vAlign w:val="center"/>
          </w:tcPr>
          <w:p w14:paraId="56D0AC80" w14:textId="74207334" w:rsidR="00B36636" w:rsidRPr="005658C8" w:rsidRDefault="00B54972" w:rsidP="00947CCF">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spacing w:val="-4"/>
                <w:sz w:val="22"/>
                <w:szCs w:val="22"/>
                <w:lang w:val="uk-UA"/>
              </w:rPr>
              <w:t xml:space="preserve">Наявність досвіду проведення </w:t>
            </w:r>
            <w:r w:rsidR="00732700" w:rsidRPr="00732700">
              <w:rPr>
                <w:rFonts w:ascii="Times New Roman" w:eastAsia="Times New Roman" w:hAnsi="Times New Roman" w:cs="Times New Roman"/>
                <w:spacing w:val="-4"/>
                <w:sz w:val="22"/>
                <w:szCs w:val="22"/>
                <w:lang w:val="uk-UA"/>
              </w:rPr>
              <w:t>оцінки основних зас</w:t>
            </w:r>
            <w:r w:rsidR="00732700">
              <w:rPr>
                <w:rFonts w:ascii="Times New Roman" w:eastAsia="Times New Roman" w:hAnsi="Times New Roman" w:cs="Times New Roman"/>
                <w:spacing w:val="-4"/>
                <w:sz w:val="22"/>
                <w:szCs w:val="22"/>
                <w:lang w:val="uk-UA"/>
              </w:rPr>
              <w:t>о</w:t>
            </w:r>
            <w:r w:rsidR="00732700" w:rsidRPr="00732700">
              <w:rPr>
                <w:rFonts w:ascii="Times New Roman" w:eastAsia="Times New Roman" w:hAnsi="Times New Roman" w:cs="Times New Roman"/>
                <w:spacing w:val="-4"/>
                <w:sz w:val="22"/>
                <w:szCs w:val="22"/>
                <w:lang w:val="uk-UA"/>
              </w:rPr>
              <w:t xml:space="preserve">бів згідно вимог МСФЗ  1 </w:t>
            </w:r>
          </w:p>
        </w:tc>
        <w:tc>
          <w:tcPr>
            <w:tcW w:w="5781" w:type="dxa"/>
            <w:shd w:val="clear" w:color="auto" w:fill="auto"/>
            <w:vAlign w:val="center"/>
          </w:tcPr>
          <w:p w14:paraId="153EDBEE" w14:textId="77777777" w:rsidR="00634C15" w:rsidRDefault="00DD3A5A" w:rsidP="0041414C">
            <w:pPr>
              <w:pStyle w:val="ab"/>
              <w:spacing w:before="0" w:beforeAutospacing="0" w:after="0" w:afterAutospacing="0"/>
              <w:jc w:val="center"/>
              <w:rPr>
                <w:rFonts w:ascii="Times New Roman" w:eastAsia="Times New Roman" w:hAnsi="Times New Roman" w:cs="Times New Roman"/>
                <w:bCs/>
                <w:spacing w:val="-4"/>
                <w:sz w:val="22"/>
                <w:szCs w:val="22"/>
                <w:highlight w:val="yellow"/>
                <w:lang w:val="uk-UA"/>
              </w:rPr>
            </w:pPr>
            <w:r w:rsidRPr="005658C8">
              <w:rPr>
                <w:rFonts w:ascii="Times New Roman" w:eastAsia="Times New Roman" w:hAnsi="Times New Roman" w:cs="Times New Roman"/>
                <w:bCs/>
                <w:spacing w:val="-4"/>
                <w:sz w:val="22"/>
                <w:szCs w:val="22"/>
                <w:lang w:val="uk-UA"/>
              </w:rPr>
              <w:t>Підтверджений досвід</w:t>
            </w:r>
            <w:r w:rsidR="00087F54" w:rsidRPr="005658C8">
              <w:rPr>
                <w:rFonts w:ascii="Times New Roman" w:eastAsia="Times New Roman" w:hAnsi="Times New Roman" w:cs="Times New Roman"/>
                <w:bCs/>
                <w:spacing w:val="-4"/>
                <w:sz w:val="22"/>
                <w:szCs w:val="22"/>
                <w:lang w:val="uk-UA"/>
              </w:rPr>
              <w:t xml:space="preserve"> проведення </w:t>
            </w:r>
            <w:r w:rsidR="00634C15" w:rsidRPr="00634C15">
              <w:rPr>
                <w:rFonts w:ascii="Times New Roman" w:eastAsia="Times New Roman" w:hAnsi="Times New Roman" w:cs="Times New Roman"/>
                <w:bCs/>
                <w:spacing w:val="-4"/>
                <w:sz w:val="22"/>
                <w:szCs w:val="22"/>
                <w:lang w:val="uk-UA"/>
              </w:rPr>
              <w:t>оцінки ОЗ згідно МСФЗ  1</w:t>
            </w:r>
            <w:r w:rsidR="00634C15" w:rsidRPr="00634C15">
              <w:rPr>
                <w:rFonts w:ascii="Times New Roman" w:eastAsia="Times New Roman" w:hAnsi="Times New Roman" w:cs="Times New Roman"/>
                <w:bCs/>
                <w:spacing w:val="-4"/>
                <w:sz w:val="22"/>
                <w:szCs w:val="22"/>
                <w:highlight w:val="yellow"/>
                <w:lang w:val="uk-UA"/>
              </w:rPr>
              <w:t xml:space="preserve"> </w:t>
            </w:r>
          </w:p>
          <w:p w14:paraId="7F87FD4A" w14:textId="78CAC044" w:rsidR="00A24497" w:rsidRPr="00F8100C" w:rsidRDefault="00DE0A8A" w:rsidP="0041414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F8100C">
              <w:rPr>
                <w:rFonts w:ascii="Times New Roman" w:eastAsia="Times New Roman" w:hAnsi="Times New Roman" w:cs="Times New Roman"/>
                <w:bCs/>
                <w:i/>
                <w:iCs/>
                <w:spacing w:val="-4"/>
                <w:sz w:val="22"/>
                <w:szCs w:val="22"/>
                <w:lang w:val="uk-UA"/>
              </w:rPr>
              <w:t>(підтверджено договором, або листом-відгуком</w:t>
            </w:r>
            <w:r w:rsidR="004D77C7" w:rsidRPr="00F8100C">
              <w:rPr>
                <w:rFonts w:ascii="Times New Roman" w:eastAsia="Times New Roman" w:hAnsi="Times New Roman" w:cs="Times New Roman"/>
                <w:bCs/>
                <w:i/>
                <w:iCs/>
                <w:spacing w:val="-4"/>
                <w:sz w:val="22"/>
                <w:szCs w:val="22"/>
                <w:lang w:val="uk-UA"/>
              </w:rPr>
              <w:t xml:space="preserve"> / референс-листом </w:t>
            </w:r>
            <w:r w:rsidRPr="00F8100C">
              <w:rPr>
                <w:rFonts w:ascii="Times New Roman" w:eastAsia="Times New Roman" w:hAnsi="Times New Roman" w:cs="Times New Roman"/>
                <w:bCs/>
                <w:i/>
                <w:iCs/>
                <w:spacing w:val="-4"/>
                <w:sz w:val="22"/>
                <w:szCs w:val="22"/>
                <w:lang w:val="uk-UA"/>
              </w:rPr>
              <w:t xml:space="preserve"> з контактними даними клієнтів</w:t>
            </w:r>
            <w:r w:rsidRPr="00F8100C">
              <w:rPr>
                <w:rFonts w:ascii="Times New Roman" w:eastAsia="Times New Roman" w:hAnsi="Times New Roman" w:cs="Times New Roman"/>
                <w:bCs/>
                <w:spacing w:val="-4"/>
                <w:sz w:val="22"/>
                <w:szCs w:val="22"/>
                <w:lang w:val="uk-UA"/>
              </w:rPr>
              <w:t>)</w:t>
            </w:r>
            <w:r w:rsidR="001B06EE" w:rsidRPr="00F8100C">
              <w:rPr>
                <w:rFonts w:ascii="Times New Roman" w:eastAsia="Times New Roman" w:hAnsi="Times New Roman" w:cs="Times New Roman"/>
                <w:bCs/>
                <w:spacing w:val="-4"/>
                <w:sz w:val="22"/>
                <w:szCs w:val="22"/>
                <w:lang w:val="uk-UA"/>
              </w:rPr>
              <w:t xml:space="preserve"> </w:t>
            </w:r>
          </w:p>
          <w:p w14:paraId="55C04C18" w14:textId="24320984" w:rsidR="00087F54" w:rsidRPr="00F8100C" w:rsidRDefault="001B06EE" w:rsidP="004034C4">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F8100C">
              <w:rPr>
                <w:rFonts w:ascii="Times New Roman" w:eastAsia="Times New Roman" w:hAnsi="Times New Roman" w:cs="Times New Roman"/>
                <w:bCs/>
                <w:spacing w:val="-4"/>
                <w:sz w:val="22"/>
                <w:szCs w:val="22"/>
                <w:lang w:val="uk-UA"/>
              </w:rPr>
              <w:t xml:space="preserve">– </w:t>
            </w:r>
            <w:r w:rsidR="00634C15" w:rsidRPr="00F8100C">
              <w:rPr>
                <w:rFonts w:ascii="Times New Roman" w:eastAsia="Times New Roman" w:hAnsi="Times New Roman" w:cs="Times New Roman"/>
                <w:b/>
                <w:spacing w:val="-4"/>
                <w:sz w:val="22"/>
                <w:szCs w:val="22"/>
                <w:u w:val="single"/>
                <w:lang w:val="uk-UA"/>
              </w:rPr>
              <w:t>2</w:t>
            </w:r>
            <w:r w:rsidRPr="00F8100C">
              <w:rPr>
                <w:rFonts w:ascii="Times New Roman" w:eastAsia="Times New Roman" w:hAnsi="Times New Roman" w:cs="Times New Roman"/>
                <w:b/>
                <w:spacing w:val="-4"/>
                <w:sz w:val="22"/>
                <w:szCs w:val="22"/>
                <w:u w:val="single"/>
                <w:lang w:val="uk-UA"/>
              </w:rPr>
              <w:t>0 %</w:t>
            </w:r>
          </w:p>
          <w:p w14:paraId="0B162224" w14:textId="1B4AD973" w:rsidR="004034C4" w:rsidRPr="005658C8" w:rsidRDefault="004034C4" w:rsidP="0041414C">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Cs/>
                <w:spacing w:val="-4"/>
                <w:sz w:val="22"/>
                <w:szCs w:val="22"/>
                <w:lang w:val="uk-UA"/>
              </w:rPr>
              <w:t>Відсутнє підтвердження</w:t>
            </w:r>
            <w:r w:rsidR="003F6114" w:rsidRPr="005658C8">
              <w:rPr>
                <w:rFonts w:ascii="Times New Roman" w:eastAsia="Times New Roman" w:hAnsi="Times New Roman" w:cs="Times New Roman"/>
                <w:bCs/>
                <w:spacing w:val="-4"/>
                <w:sz w:val="22"/>
                <w:szCs w:val="22"/>
                <w:lang w:val="uk-UA"/>
              </w:rPr>
              <w:t xml:space="preserve"> </w:t>
            </w:r>
            <w:r w:rsidRPr="005658C8">
              <w:rPr>
                <w:rFonts w:ascii="Times New Roman" w:eastAsia="Times New Roman" w:hAnsi="Times New Roman" w:cs="Times New Roman"/>
                <w:bCs/>
                <w:spacing w:val="-4"/>
                <w:sz w:val="22"/>
                <w:szCs w:val="22"/>
                <w:lang w:val="uk-UA"/>
              </w:rPr>
              <w:t>досвід</w:t>
            </w:r>
            <w:r w:rsidR="003F6114" w:rsidRPr="005658C8">
              <w:rPr>
                <w:rFonts w:ascii="Times New Roman" w:eastAsia="Times New Roman" w:hAnsi="Times New Roman" w:cs="Times New Roman"/>
                <w:bCs/>
                <w:spacing w:val="-4"/>
                <w:sz w:val="22"/>
                <w:szCs w:val="22"/>
                <w:lang w:val="uk-UA"/>
              </w:rPr>
              <w:t>у</w:t>
            </w:r>
            <w:r w:rsidRPr="005658C8">
              <w:rPr>
                <w:rFonts w:ascii="Times New Roman" w:eastAsia="Times New Roman" w:hAnsi="Times New Roman" w:cs="Times New Roman"/>
                <w:bCs/>
                <w:spacing w:val="-4"/>
                <w:sz w:val="22"/>
                <w:szCs w:val="22"/>
                <w:lang w:val="uk-UA"/>
              </w:rPr>
              <w:t xml:space="preserve"> проведення </w:t>
            </w:r>
            <w:r w:rsidR="00F8100C" w:rsidRPr="00634C15">
              <w:rPr>
                <w:rFonts w:ascii="Times New Roman" w:eastAsia="Times New Roman" w:hAnsi="Times New Roman" w:cs="Times New Roman"/>
                <w:bCs/>
                <w:spacing w:val="-4"/>
                <w:sz w:val="22"/>
                <w:szCs w:val="22"/>
                <w:lang w:val="uk-UA"/>
              </w:rPr>
              <w:t>оцінки ОЗ згідно МСФЗ  1</w:t>
            </w:r>
            <w:r w:rsidRPr="005658C8">
              <w:rPr>
                <w:rFonts w:ascii="Times New Roman" w:eastAsia="Times New Roman" w:hAnsi="Times New Roman" w:cs="Times New Roman"/>
                <w:spacing w:val="-4"/>
                <w:sz w:val="22"/>
                <w:szCs w:val="22"/>
                <w:lang w:val="uk-UA"/>
              </w:rPr>
              <w:br/>
              <w:t xml:space="preserve"> </w:t>
            </w:r>
            <w:r w:rsidRPr="005658C8">
              <w:rPr>
                <w:rFonts w:ascii="Times New Roman" w:eastAsia="Times New Roman" w:hAnsi="Times New Roman" w:cs="Times New Roman"/>
                <w:b/>
                <w:bCs/>
                <w:spacing w:val="-4"/>
                <w:sz w:val="22"/>
                <w:szCs w:val="22"/>
                <w:u w:val="single"/>
                <w:lang w:val="uk-UA"/>
              </w:rPr>
              <w:t>– 0%</w:t>
            </w:r>
          </w:p>
        </w:tc>
        <w:tc>
          <w:tcPr>
            <w:tcW w:w="1590" w:type="dxa"/>
            <w:shd w:val="clear" w:color="auto" w:fill="auto"/>
            <w:vAlign w:val="center"/>
          </w:tcPr>
          <w:p w14:paraId="6B287D57" w14:textId="50542DCC" w:rsidR="00B36636" w:rsidRPr="00720A7E" w:rsidRDefault="005C2D5B"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r w:rsidR="00087F54" w:rsidRPr="00720A7E">
              <w:rPr>
                <w:rFonts w:ascii="Times New Roman" w:eastAsia="Times New Roman" w:hAnsi="Times New Roman" w:cs="Times New Roman"/>
                <w:bCs/>
                <w:spacing w:val="-4"/>
                <w:sz w:val="22"/>
                <w:szCs w:val="22"/>
                <w:lang w:val="uk-UA"/>
              </w:rPr>
              <w:t>0</w:t>
            </w:r>
            <w:r w:rsidR="00693158" w:rsidRPr="00720A7E">
              <w:rPr>
                <w:rFonts w:ascii="Times New Roman" w:eastAsia="Times New Roman" w:hAnsi="Times New Roman" w:cs="Times New Roman"/>
                <w:bCs/>
                <w:spacing w:val="-4"/>
                <w:sz w:val="22"/>
                <w:szCs w:val="22"/>
                <w:lang w:val="uk-UA"/>
              </w:rPr>
              <w:t xml:space="preserve"> %</w:t>
            </w:r>
          </w:p>
        </w:tc>
      </w:tr>
      <w:tr w:rsidR="005C2D5B" w:rsidRPr="004805DD" w14:paraId="05CA97D6" w14:textId="77777777" w:rsidTr="00370B5F">
        <w:trPr>
          <w:trHeight w:val="450"/>
        </w:trPr>
        <w:tc>
          <w:tcPr>
            <w:tcW w:w="434" w:type="dxa"/>
            <w:shd w:val="clear" w:color="auto" w:fill="auto"/>
            <w:vAlign w:val="center"/>
          </w:tcPr>
          <w:p w14:paraId="267ECAE2" w14:textId="4BBDFB1D" w:rsidR="005C2D5B" w:rsidRPr="004D12AF" w:rsidRDefault="00F24E8C"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401" w:type="dxa"/>
            <w:shd w:val="clear" w:color="auto" w:fill="auto"/>
            <w:vAlign w:val="center"/>
          </w:tcPr>
          <w:p w14:paraId="6939F765" w14:textId="5252C0DF" w:rsidR="005C2D5B" w:rsidRPr="0081697C" w:rsidRDefault="00F24E8C" w:rsidP="00947CCF">
            <w:pPr>
              <w:pStyle w:val="ab"/>
              <w:spacing w:before="0" w:beforeAutospacing="0" w:after="0" w:afterAutospacing="0"/>
              <w:jc w:val="both"/>
              <w:rPr>
                <w:rFonts w:ascii="Times New Roman" w:eastAsia="Times New Roman" w:hAnsi="Times New Roman" w:cs="Times New Roman"/>
                <w:spacing w:val="-4"/>
                <w:sz w:val="22"/>
                <w:szCs w:val="22"/>
                <w:lang w:val="uk-UA"/>
              </w:rPr>
            </w:pPr>
            <w:r w:rsidRPr="0081697C">
              <w:rPr>
                <w:rFonts w:ascii="Times New Roman" w:eastAsia="Times New Roman" w:hAnsi="Times New Roman" w:cs="Times New Roman"/>
                <w:spacing w:val="-4"/>
                <w:sz w:val="22"/>
                <w:szCs w:val="22"/>
                <w:lang w:val="uk-UA"/>
              </w:rPr>
              <w:t>Наявність досвіду проведенні оцінки земельних ділянок, будівель, транспортних засобів , лікарських засобів, медичного обладнання.</w:t>
            </w:r>
          </w:p>
        </w:tc>
        <w:tc>
          <w:tcPr>
            <w:tcW w:w="5781" w:type="dxa"/>
            <w:shd w:val="clear" w:color="auto" w:fill="auto"/>
            <w:vAlign w:val="center"/>
          </w:tcPr>
          <w:p w14:paraId="7980CB07" w14:textId="58B863EE" w:rsidR="00F24E8C" w:rsidRPr="0081697C" w:rsidRDefault="0081697C" w:rsidP="00370B5F">
            <w:pPr>
              <w:pStyle w:val="ab"/>
              <w:spacing w:after="0" w:afterAutospacing="0"/>
              <w:jc w:val="center"/>
              <w:rPr>
                <w:rFonts w:ascii="Times New Roman" w:eastAsia="Times New Roman" w:hAnsi="Times New Roman" w:cs="Times New Roman"/>
                <w:bCs/>
                <w:spacing w:val="-4"/>
                <w:sz w:val="22"/>
                <w:szCs w:val="22"/>
                <w:lang w:val="uk-UA"/>
              </w:rPr>
            </w:pPr>
            <w:r w:rsidRPr="0081697C">
              <w:rPr>
                <w:rFonts w:ascii="Times New Roman" w:eastAsia="Times New Roman" w:hAnsi="Times New Roman" w:cs="Times New Roman"/>
                <w:bCs/>
                <w:spacing w:val="-4"/>
                <w:sz w:val="22"/>
                <w:szCs w:val="22"/>
                <w:lang w:val="uk-UA"/>
              </w:rPr>
              <w:t>Підтверджений досвід</w:t>
            </w:r>
            <w:r w:rsidR="00F24E8C" w:rsidRPr="0081697C">
              <w:rPr>
                <w:rFonts w:ascii="Times New Roman" w:eastAsia="Times New Roman" w:hAnsi="Times New Roman" w:cs="Times New Roman"/>
                <w:bCs/>
                <w:spacing w:val="-4"/>
                <w:sz w:val="22"/>
                <w:szCs w:val="22"/>
                <w:lang w:val="uk-UA"/>
              </w:rPr>
              <w:t xml:space="preserve"> проведення оцінки </w:t>
            </w:r>
            <w:r w:rsidRPr="0081697C">
              <w:rPr>
                <w:rFonts w:ascii="Times New Roman" w:eastAsia="Times New Roman" w:hAnsi="Times New Roman" w:cs="Times New Roman"/>
                <w:bCs/>
                <w:spacing w:val="-4"/>
                <w:sz w:val="22"/>
                <w:szCs w:val="22"/>
                <w:lang w:val="uk-UA"/>
              </w:rPr>
              <w:t xml:space="preserve">всіх перелічених груп ОЗ  </w:t>
            </w:r>
            <w:r w:rsidRPr="00991FDF">
              <w:rPr>
                <w:rFonts w:ascii="Times New Roman" w:eastAsia="Times New Roman" w:hAnsi="Times New Roman" w:cs="Times New Roman"/>
                <w:b/>
                <w:spacing w:val="-4"/>
                <w:sz w:val="22"/>
                <w:szCs w:val="22"/>
                <w:u w:val="single"/>
                <w:lang w:val="uk-UA"/>
              </w:rPr>
              <w:t>-  20%</w:t>
            </w:r>
            <w:r w:rsidR="00F24E8C" w:rsidRPr="0081697C">
              <w:rPr>
                <w:rFonts w:ascii="Times New Roman" w:eastAsia="Times New Roman" w:hAnsi="Times New Roman" w:cs="Times New Roman"/>
                <w:bCs/>
                <w:spacing w:val="-4"/>
                <w:sz w:val="22"/>
                <w:szCs w:val="22"/>
                <w:lang w:val="uk-UA"/>
              </w:rPr>
              <w:t xml:space="preserve"> </w:t>
            </w:r>
            <w:r w:rsidRPr="0081697C">
              <w:rPr>
                <w:rFonts w:ascii="Times New Roman" w:eastAsia="Times New Roman" w:hAnsi="Times New Roman" w:cs="Times New Roman"/>
                <w:bCs/>
                <w:spacing w:val="-4"/>
                <w:sz w:val="22"/>
                <w:szCs w:val="22"/>
                <w:lang w:val="uk-UA"/>
              </w:rPr>
              <w:t xml:space="preserve"> </w:t>
            </w:r>
          </w:p>
          <w:p w14:paraId="6DB73D2B" w14:textId="41B43AA7" w:rsidR="005C2D5B" w:rsidRPr="0081697C" w:rsidRDefault="0081697C" w:rsidP="00F24E8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697C">
              <w:rPr>
                <w:rFonts w:ascii="Times New Roman" w:eastAsia="Times New Roman" w:hAnsi="Times New Roman" w:cs="Times New Roman"/>
                <w:bCs/>
                <w:spacing w:val="-4"/>
                <w:sz w:val="22"/>
                <w:szCs w:val="22"/>
                <w:lang w:val="uk-UA"/>
              </w:rPr>
              <w:t xml:space="preserve">Підтверджений досвід проведення оцінки частини з  перелічених груп ОЗ </w:t>
            </w:r>
            <w:r w:rsidR="00F24E8C" w:rsidRPr="00991FDF">
              <w:rPr>
                <w:rFonts w:ascii="Times New Roman" w:eastAsia="Times New Roman" w:hAnsi="Times New Roman" w:cs="Times New Roman"/>
                <w:b/>
                <w:spacing w:val="-4"/>
                <w:sz w:val="22"/>
                <w:szCs w:val="22"/>
                <w:u w:val="single"/>
                <w:lang w:val="uk-UA"/>
              </w:rPr>
              <w:t xml:space="preserve">– </w:t>
            </w:r>
            <w:r w:rsidRPr="00991FDF">
              <w:rPr>
                <w:rFonts w:ascii="Times New Roman" w:eastAsia="Times New Roman" w:hAnsi="Times New Roman" w:cs="Times New Roman"/>
                <w:b/>
                <w:spacing w:val="-4"/>
                <w:sz w:val="22"/>
                <w:szCs w:val="22"/>
                <w:u w:val="single"/>
                <w:lang w:val="uk-UA"/>
              </w:rPr>
              <w:t>1</w:t>
            </w:r>
            <w:r w:rsidR="00F24E8C" w:rsidRPr="00991FDF">
              <w:rPr>
                <w:rFonts w:ascii="Times New Roman" w:eastAsia="Times New Roman" w:hAnsi="Times New Roman" w:cs="Times New Roman"/>
                <w:b/>
                <w:spacing w:val="-4"/>
                <w:sz w:val="22"/>
                <w:szCs w:val="22"/>
                <w:u w:val="single"/>
                <w:lang w:val="uk-UA"/>
              </w:rPr>
              <w:t>0</w:t>
            </w:r>
            <w:r w:rsidRPr="00991FDF">
              <w:rPr>
                <w:rFonts w:ascii="Times New Roman" w:eastAsia="Times New Roman" w:hAnsi="Times New Roman" w:cs="Times New Roman"/>
                <w:b/>
                <w:spacing w:val="-4"/>
                <w:sz w:val="22"/>
                <w:szCs w:val="22"/>
                <w:u w:val="single"/>
                <w:lang w:val="uk-UA"/>
              </w:rPr>
              <w:t xml:space="preserve"> %</w:t>
            </w:r>
          </w:p>
          <w:p w14:paraId="6FD4DFD7" w14:textId="6BC76DC3" w:rsidR="0081697C" w:rsidRPr="0081697C" w:rsidRDefault="0081697C" w:rsidP="00F24E8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697C">
              <w:rPr>
                <w:rFonts w:ascii="Times New Roman" w:eastAsia="Times New Roman" w:hAnsi="Times New Roman" w:cs="Times New Roman"/>
                <w:bCs/>
                <w:spacing w:val="-4"/>
                <w:sz w:val="22"/>
                <w:szCs w:val="22"/>
                <w:lang w:val="uk-UA"/>
              </w:rPr>
              <w:t>Відсутнє підтвердження досвіду проведення оцінки вказаних груп ОЗ</w:t>
            </w:r>
            <w:r w:rsidR="00370B5F">
              <w:rPr>
                <w:rFonts w:ascii="Times New Roman" w:eastAsia="Times New Roman" w:hAnsi="Times New Roman" w:cs="Times New Roman"/>
                <w:bCs/>
                <w:spacing w:val="-4"/>
                <w:sz w:val="22"/>
                <w:szCs w:val="22"/>
                <w:lang w:val="uk-UA"/>
              </w:rPr>
              <w:t xml:space="preserve">   </w:t>
            </w:r>
            <w:r w:rsidRPr="0081697C">
              <w:rPr>
                <w:rFonts w:ascii="Times New Roman" w:eastAsia="Times New Roman" w:hAnsi="Times New Roman" w:cs="Times New Roman"/>
                <w:spacing w:val="-4"/>
                <w:sz w:val="22"/>
                <w:szCs w:val="22"/>
                <w:lang w:val="uk-UA"/>
              </w:rPr>
              <w:t xml:space="preserve"> </w:t>
            </w:r>
            <w:r w:rsidRPr="0081697C">
              <w:rPr>
                <w:rFonts w:ascii="Times New Roman" w:eastAsia="Times New Roman" w:hAnsi="Times New Roman" w:cs="Times New Roman"/>
                <w:b/>
                <w:bCs/>
                <w:spacing w:val="-4"/>
                <w:sz w:val="22"/>
                <w:szCs w:val="22"/>
                <w:u w:val="single"/>
                <w:lang w:val="uk-UA"/>
              </w:rPr>
              <w:t>– 0%</w:t>
            </w:r>
          </w:p>
        </w:tc>
        <w:tc>
          <w:tcPr>
            <w:tcW w:w="1590" w:type="dxa"/>
            <w:shd w:val="clear" w:color="auto" w:fill="auto"/>
            <w:vAlign w:val="center"/>
          </w:tcPr>
          <w:p w14:paraId="549C2880" w14:textId="0F17DBD0" w:rsidR="005C2D5B" w:rsidRDefault="00F24E8C"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20 %</w:t>
            </w:r>
          </w:p>
        </w:tc>
      </w:tr>
      <w:tr w:rsidR="00B36636" w:rsidRPr="004805DD" w14:paraId="044061FB" w14:textId="77777777" w:rsidTr="00A96F84">
        <w:tc>
          <w:tcPr>
            <w:tcW w:w="8616" w:type="dxa"/>
            <w:gridSpan w:val="3"/>
            <w:shd w:val="clear" w:color="auto" w:fill="D0CECE"/>
          </w:tcPr>
          <w:p w14:paraId="52D6B0D7" w14:textId="77777777" w:rsidR="00B36636" w:rsidRPr="004805DD" w:rsidRDefault="00B36636" w:rsidP="00947CCF">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90" w:type="dxa"/>
            <w:shd w:val="clear" w:color="auto" w:fill="D0CECE"/>
          </w:tcPr>
          <w:p w14:paraId="114AF908" w14:textId="5D204795"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r w:rsidR="00AD4E31">
              <w:rPr>
                <w:rFonts w:ascii="Times New Roman" w:eastAsia="Times New Roman" w:hAnsi="Times New Roman" w:cs="Times New Roman"/>
                <w:b/>
                <w:spacing w:val="-4"/>
                <w:sz w:val="22"/>
                <w:szCs w:val="22"/>
                <w:lang w:val="uk-UA"/>
              </w:rPr>
              <w:t xml:space="preserve"> %</w:t>
            </w:r>
          </w:p>
        </w:tc>
      </w:tr>
      <w:bookmarkEnd w:id="2"/>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75700917"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bookmarkStart w:id="3" w:name="_Hlk185516364"/>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bookmarkEnd w:id="3"/>
    </w:p>
    <w:p w14:paraId="122D602E" w14:textId="1EC0A5D4" w:rsidR="004C2787" w:rsidRPr="00557A29" w:rsidRDefault="004C2787" w:rsidP="007C501A">
      <w:pPr>
        <w:ind w:firstLine="357"/>
        <w:jc w:val="both"/>
        <w:rPr>
          <w:spacing w:val="-4"/>
          <w:sz w:val="22"/>
          <w:szCs w:val="22"/>
          <w:lang w:val="uk-UA"/>
        </w:rPr>
      </w:pPr>
      <w:bookmarkStart w:id="4" w:name="_Hlk185516378"/>
      <w:r w:rsidRPr="00A3721F">
        <w:rPr>
          <w:spacing w:val="-4"/>
          <w:sz w:val="22"/>
          <w:szCs w:val="22"/>
          <w:lang w:val="uk-UA"/>
        </w:rPr>
        <w:t xml:space="preserve">Замовник </w:t>
      </w:r>
      <w:r w:rsidRPr="005658C8">
        <w:rPr>
          <w:spacing w:val="-4"/>
          <w:sz w:val="22"/>
          <w:szCs w:val="22"/>
          <w:lang w:val="uk-UA"/>
        </w:rPr>
        <w:t xml:space="preserve">укладає </w:t>
      </w:r>
      <w:r w:rsidR="004034C4" w:rsidRPr="005658C8">
        <w:rPr>
          <w:spacing w:val="-4"/>
          <w:sz w:val="22"/>
          <w:szCs w:val="22"/>
          <w:lang w:val="uk-UA"/>
        </w:rPr>
        <w:t>Рамковий договір</w:t>
      </w:r>
      <w:r w:rsidRPr="005658C8">
        <w:rPr>
          <w:spacing w:val="-4"/>
          <w:sz w:val="22"/>
          <w:szCs w:val="22"/>
          <w:lang w:val="uk-UA"/>
        </w:rPr>
        <w:t xml:space="preserve"> про закупівлю з </w:t>
      </w:r>
      <w:r w:rsidR="0050360D" w:rsidRPr="005658C8">
        <w:rPr>
          <w:spacing w:val="-4"/>
          <w:sz w:val="22"/>
          <w:szCs w:val="22"/>
          <w:lang w:val="uk-UA"/>
        </w:rPr>
        <w:t>У</w:t>
      </w:r>
      <w:r w:rsidRPr="005658C8">
        <w:rPr>
          <w:spacing w:val="-4"/>
          <w:sz w:val="22"/>
          <w:szCs w:val="22"/>
          <w:lang w:val="uk-UA"/>
        </w:rPr>
        <w:t>часником</w:t>
      </w:r>
      <w:bookmarkEnd w:id="4"/>
      <w:r w:rsidRPr="005658C8">
        <w:rPr>
          <w:spacing w:val="-4"/>
          <w:sz w:val="22"/>
          <w:szCs w:val="22"/>
          <w:lang w:val="uk-UA"/>
        </w:rPr>
        <w:t>, який визнаний переможцем, протягом строку дії його пропозиції, не пізніше ніж через</w:t>
      </w:r>
      <w:r w:rsidRPr="00A3721F">
        <w:rPr>
          <w:spacing w:val="-4"/>
          <w:sz w:val="22"/>
          <w:szCs w:val="22"/>
          <w:lang w:val="uk-UA"/>
        </w:rPr>
        <w:t xml:space="preserve">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14:paraId="3FCE5BC1" w14:textId="1265A84F" w:rsidR="00CE4346" w:rsidRDefault="004C2787" w:rsidP="0099701E">
      <w:pPr>
        <w:pStyle w:val="af6"/>
        <w:ind w:firstLine="357"/>
        <w:rPr>
          <w:i/>
          <w:sz w:val="22"/>
          <w:szCs w:val="22"/>
          <w:lang w:val="uk-UA"/>
        </w:rPr>
      </w:pPr>
      <w:r w:rsidRPr="00E732E1">
        <w:rPr>
          <w:i/>
          <w:sz w:val="22"/>
          <w:szCs w:val="22"/>
          <w:lang w:val="uk-UA"/>
        </w:rPr>
        <w:t>Голова тендерного комітету</w:t>
      </w:r>
      <w:r w:rsidRPr="00E732E1">
        <w:rPr>
          <w:i/>
          <w:sz w:val="22"/>
          <w:szCs w:val="22"/>
          <w:lang w:val="uk-UA"/>
        </w:rPr>
        <w:tab/>
      </w:r>
      <w:r w:rsidRPr="00E732E1">
        <w:rPr>
          <w:i/>
          <w:sz w:val="22"/>
          <w:szCs w:val="22"/>
          <w:lang w:val="uk-UA"/>
        </w:rPr>
        <w:tab/>
      </w:r>
      <w:r w:rsidR="009E6AC7" w:rsidRPr="00E732E1">
        <w:rPr>
          <w:i/>
          <w:sz w:val="22"/>
          <w:szCs w:val="22"/>
          <w:lang w:val="uk-UA"/>
        </w:rPr>
        <w:t xml:space="preserve">         </w:t>
      </w:r>
      <w:r w:rsidRPr="00E732E1">
        <w:rPr>
          <w:i/>
          <w:sz w:val="22"/>
          <w:szCs w:val="22"/>
          <w:lang w:val="uk-UA"/>
        </w:rPr>
        <w:tab/>
      </w:r>
      <w:r w:rsidR="00CC7D16" w:rsidRPr="00E732E1">
        <w:rPr>
          <w:i/>
          <w:sz w:val="22"/>
          <w:szCs w:val="22"/>
          <w:lang w:val="uk-UA"/>
        </w:rPr>
        <w:t xml:space="preserve">____________ </w:t>
      </w:r>
      <w:r w:rsidR="00B16BB6" w:rsidRPr="00E732E1">
        <w:rPr>
          <w:i/>
          <w:sz w:val="22"/>
          <w:szCs w:val="22"/>
          <w:lang w:val="uk-UA"/>
        </w:rPr>
        <w:t xml:space="preserve">                          </w:t>
      </w:r>
      <w:r w:rsidR="00E732E1" w:rsidRPr="00E732E1">
        <w:rPr>
          <w:i/>
          <w:sz w:val="22"/>
          <w:szCs w:val="22"/>
          <w:lang w:val="uk-UA"/>
        </w:rPr>
        <w:t>Р.І. Ошовська</w:t>
      </w:r>
    </w:p>
    <w:p w14:paraId="6AA2CB22" w14:textId="59CB2215" w:rsidR="000B129C" w:rsidRPr="00557A29" w:rsidRDefault="00C33DF7" w:rsidP="000B129C">
      <w:pPr>
        <w:ind w:left="6804" w:hanging="7088"/>
        <w:jc w:val="right"/>
        <w:rPr>
          <w:sz w:val="22"/>
          <w:szCs w:val="22"/>
          <w:lang w:val="uk-UA"/>
        </w:rPr>
      </w:pPr>
      <w:bookmarkStart w:id="5"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94156E">
        <w:rPr>
          <w:sz w:val="22"/>
          <w:szCs w:val="22"/>
          <w:lang w:val="uk-UA"/>
        </w:rPr>
        <w:t xml:space="preserve">Цінової </w:t>
      </w:r>
      <w:r w:rsidR="000B129C" w:rsidRPr="00557A29">
        <w:rPr>
          <w:sz w:val="22"/>
          <w:szCs w:val="22"/>
          <w:lang w:val="uk-UA"/>
        </w:rPr>
        <w:t>пропозиції</w:t>
      </w:r>
    </w:p>
    <w:p w14:paraId="66C8F9CE" w14:textId="326CD09E"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5"/>
      <w:r w:rsidR="00164CFA">
        <w:rPr>
          <w:spacing w:val="-4"/>
          <w:sz w:val="22"/>
          <w:szCs w:val="22"/>
          <w:lang w:val="uk-UA"/>
        </w:rPr>
        <w:t xml:space="preserve">послуг </w:t>
      </w:r>
      <w:r w:rsidR="00F24E8C" w:rsidRPr="00732700">
        <w:rPr>
          <w:spacing w:val="-4"/>
          <w:sz w:val="22"/>
          <w:szCs w:val="22"/>
          <w:lang w:val="uk-UA"/>
        </w:rPr>
        <w:t>оцінки основних зас</w:t>
      </w:r>
      <w:r w:rsidR="00F24E8C">
        <w:rPr>
          <w:spacing w:val="-4"/>
          <w:sz w:val="22"/>
          <w:szCs w:val="22"/>
          <w:lang w:val="uk-UA"/>
        </w:rPr>
        <w:t>о</w:t>
      </w:r>
      <w:r w:rsidR="00F24E8C" w:rsidRPr="00732700">
        <w:rPr>
          <w:spacing w:val="-4"/>
          <w:sz w:val="22"/>
          <w:szCs w:val="22"/>
          <w:lang w:val="uk-UA"/>
        </w:rPr>
        <w:t>бів</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F24E8C" w:rsidRDefault="000B129C" w:rsidP="000B129C">
      <w:pPr>
        <w:rPr>
          <w:b/>
          <w:i/>
          <w:color w:val="747474" w:themeColor="background2" w:themeShade="80"/>
          <w:sz w:val="22"/>
          <w:szCs w:val="22"/>
          <w:lang w:val="uk-UA"/>
        </w:rPr>
      </w:pPr>
      <w:r w:rsidRPr="00F24E8C">
        <w:rPr>
          <w:b/>
          <w:i/>
          <w:color w:val="747474" w:themeColor="background2" w:themeShade="80"/>
          <w:sz w:val="22"/>
          <w:szCs w:val="22"/>
          <w:lang w:val="uk-UA"/>
        </w:rPr>
        <w:t xml:space="preserve">Прохання заповнити цю сторінку. Вона має бути першою в Вашій </w:t>
      </w:r>
      <w:r w:rsidR="0094156E" w:rsidRPr="00F24E8C">
        <w:rPr>
          <w:b/>
          <w:i/>
          <w:color w:val="747474" w:themeColor="background2" w:themeShade="80"/>
          <w:sz w:val="22"/>
          <w:szCs w:val="22"/>
          <w:lang w:val="uk-UA"/>
        </w:rPr>
        <w:t>ціновій</w:t>
      </w:r>
      <w:r w:rsidRPr="00F24E8C">
        <w:rPr>
          <w:b/>
          <w:i/>
          <w:color w:val="747474" w:themeColor="background2" w:themeShade="80"/>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Default="00C67C6D" w:rsidP="000B129C">
      <w:pPr>
        <w:rPr>
          <w:b/>
          <w:sz w:val="22"/>
          <w:szCs w:val="22"/>
          <w:lang w:val="uk-UA"/>
        </w:rPr>
      </w:pPr>
    </w:p>
    <w:p w14:paraId="7CE1D47D" w14:textId="77777777" w:rsidR="00BB1DA8" w:rsidRDefault="00BB1DA8" w:rsidP="000B129C">
      <w:pPr>
        <w:rPr>
          <w:b/>
          <w:sz w:val="22"/>
          <w:szCs w:val="22"/>
          <w:lang w:val="uk-UA"/>
        </w:rPr>
      </w:pPr>
    </w:p>
    <w:p w14:paraId="1D71C519" w14:textId="77777777" w:rsidR="00BB1DA8" w:rsidRDefault="00BB1DA8" w:rsidP="000B129C">
      <w:pPr>
        <w:rPr>
          <w:b/>
          <w:sz w:val="22"/>
          <w:szCs w:val="22"/>
          <w:lang w:val="uk-UA"/>
        </w:rPr>
      </w:pPr>
    </w:p>
    <w:p w14:paraId="78425CD3" w14:textId="77777777" w:rsidR="00BB1DA8" w:rsidRDefault="00BB1DA8" w:rsidP="000B129C">
      <w:pPr>
        <w:rPr>
          <w:b/>
          <w:sz w:val="22"/>
          <w:szCs w:val="22"/>
          <w:lang w:val="uk-UA"/>
        </w:rPr>
      </w:pPr>
    </w:p>
    <w:p w14:paraId="28B1FBBD" w14:textId="77777777" w:rsidR="00BB1DA8" w:rsidRDefault="00BB1DA8" w:rsidP="000B129C">
      <w:pPr>
        <w:rPr>
          <w:b/>
          <w:sz w:val="22"/>
          <w:szCs w:val="22"/>
          <w:lang w:val="uk-UA"/>
        </w:rPr>
      </w:pPr>
    </w:p>
    <w:p w14:paraId="302F22C6" w14:textId="77777777" w:rsidR="00BB1DA8" w:rsidRDefault="00BB1DA8" w:rsidP="000B129C">
      <w:pPr>
        <w:rPr>
          <w:b/>
          <w:sz w:val="22"/>
          <w:szCs w:val="22"/>
          <w:lang w:val="uk-UA"/>
        </w:rPr>
      </w:pPr>
    </w:p>
    <w:p w14:paraId="47990432" w14:textId="77777777" w:rsidR="00BB1DA8" w:rsidRDefault="00BB1DA8" w:rsidP="000B129C">
      <w:pPr>
        <w:rPr>
          <w:b/>
          <w:sz w:val="22"/>
          <w:szCs w:val="22"/>
          <w:lang w:val="uk-UA"/>
        </w:rPr>
      </w:pPr>
    </w:p>
    <w:p w14:paraId="231762D6" w14:textId="77777777" w:rsidR="00BB1DA8" w:rsidRDefault="00BB1DA8" w:rsidP="000B129C">
      <w:pPr>
        <w:rPr>
          <w:b/>
          <w:sz w:val="22"/>
          <w:szCs w:val="22"/>
          <w:lang w:val="uk-UA"/>
        </w:rPr>
      </w:pPr>
    </w:p>
    <w:p w14:paraId="2A13029C" w14:textId="77777777" w:rsidR="00B706A2" w:rsidRDefault="00B706A2" w:rsidP="00BB1DA8">
      <w:pPr>
        <w:ind w:right="501"/>
        <w:jc w:val="right"/>
        <w:rPr>
          <w:b/>
          <w:bCs/>
          <w:lang w:val="uk-UA"/>
        </w:rPr>
      </w:pPr>
    </w:p>
    <w:p w14:paraId="7BD00BE7" w14:textId="26DDE7D1" w:rsidR="00BB1DA8" w:rsidRPr="00BB1DA8" w:rsidRDefault="00BB1DA8" w:rsidP="00BB1DA8">
      <w:pPr>
        <w:ind w:right="501"/>
        <w:jc w:val="right"/>
        <w:rPr>
          <w:b/>
          <w:bCs/>
          <w:lang w:val="uk-UA"/>
        </w:rPr>
      </w:pPr>
      <w:r w:rsidRPr="00BB1DA8">
        <w:rPr>
          <w:b/>
          <w:bCs/>
          <w:lang w:val="uk-UA"/>
        </w:rPr>
        <w:lastRenderedPageBreak/>
        <w:t>Додаток 2 до Запиту</w:t>
      </w:r>
    </w:p>
    <w:p w14:paraId="3CE3385D" w14:textId="77777777" w:rsidR="00727FEC" w:rsidRPr="00727FEC" w:rsidRDefault="00727FEC" w:rsidP="00727FEC">
      <w:pPr>
        <w:ind w:right="501"/>
        <w:jc w:val="right"/>
        <w:rPr>
          <w:spacing w:val="-4"/>
          <w:sz w:val="22"/>
          <w:szCs w:val="22"/>
          <w:lang w:val="uk-UA"/>
        </w:rPr>
      </w:pPr>
      <w:r w:rsidRPr="00727FEC">
        <w:rPr>
          <w:sz w:val="22"/>
          <w:szCs w:val="22"/>
          <w:lang w:val="uk-UA"/>
        </w:rPr>
        <w:t xml:space="preserve">на закупівлю </w:t>
      </w:r>
      <w:r w:rsidRPr="00727FEC">
        <w:rPr>
          <w:spacing w:val="-4"/>
          <w:sz w:val="22"/>
          <w:szCs w:val="22"/>
          <w:lang w:val="uk-UA"/>
        </w:rPr>
        <w:t xml:space="preserve">послуг </w:t>
      </w:r>
    </w:p>
    <w:p w14:paraId="0F8BC88C" w14:textId="035662B1" w:rsidR="00BB1DA8" w:rsidRPr="00BB1DA8" w:rsidRDefault="00F24E8C" w:rsidP="00BB1DA8">
      <w:pPr>
        <w:ind w:right="501"/>
        <w:jc w:val="right"/>
        <w:rPr>
          <w:b/>
          <w:bCs/>
          <w:lang w:val="uk-UA"/>
        </w:rPr>
      </w:pPr>
      <w:r w:rsidRPr="00732700">
        <w:rPr>
          <w:spacing w:val="-4"/>
          <w:sz w:val="22"/>
          <w:szCs w:val="22"/>
          <w:lang w:val="uk-UA"/>
        </w:rPr>
        <w:t>оцінки основних зас</w:t>
      </w:r>
      <w:r>
        <w:rPr>
          <w:spacing w:val="-4"/>
          <w:sz w:val="22"/>
          <w:szCs w:val="22"/>
          <w:lang w:val="uk-UA"/>
        </w:rPr>
        <w:t>о</w:t>
      </w:r>
      <w:r w:rsidRPr="00732700">
        <w:rPr>
          <w:spacing w:val="-4"/>
          <w:sz w:val="22"/>
          <w:szCs w:val="22"/>
          <w:lang w:val="uk-UA"/>
        </w:rPr>
        <w:t>бів</w:t>
      </w:r>
    </w:p>
    <w:p w14:paraId="67209D1C" w14:textId="77777777" w:rsidR="00D35EBD" w:rsidRDefault="00D35EBD" w:rsidP="00BB1DA8">
      <w:pPr>
        <w:tabs>
          <w:tab w:val="left" w:pos="0"/>
          <w:tab w:val="center" w:pos="9072"/>
        </w:tabs>
        <w:spacing w:line="290" w:lineRule="exact"/>
        <w:jc w:val="center"/>
        <w:outlineLvl w:val="0"/>
        <w:rPr>
          <w:b/>
          <w:noProof/>
          <w:color w:val="000000"/>
          <w:lang w:val="uk-UA" w:eastAsia="de-DE"/>
        </w:rPr>
      </w:pPr>
    </w:p>
    <w:p w14:paraId="00996061" w14:textId="6EEF230D" w:rsidR="00BB1DA8" w:rsidRPr="00D35EBD" w:rsidRDefault="00BB1DA8" w:rsidP="00D35EBD">
      <w:pPr>
        <w:jc w:val="center"/>
        <w:rPr>
          <w:b/>
          <w:bCs/>
          <w:noProof/>
          <w:lang w:val="uk-UA" w:eastAsia="de-DE"/>
        </w:rPr>
      </w:pPr>
      <w:r w:rsidRPr="00D35EBD">
        <w:rPr>
          <w:b/>
          <w:bCs/>
          <w:noProof/>
          <w:lang w:val="uk-UA" w:eastAsia="de-DE"/>
        </w:rPr>
        <w:t>ТЕХНІЧНЕ ЗАВДАННЯ</w:t>
      </w:r>
    </w:p>
    <w:p w14:paraId="33497686" w14:textId="77777777" w:rsidR="00D35EBD" w:rsidRDefault="00D35EBD" w:rsidP="00D35EBD">
      <w:pPr>
        <w:shd w:val="clear" w:color="auto" w:fill="FFFFFF"/>
        <w:tabs>
          <w:tab w:val="left" w:pos="360"/>
        </w:tabs>
        <w:jc w:val="center"/>
        <w:rPr>
          <w:b/>
          <w:bCs/>
          <w:lang w:val="uk-UA"/>
        </w:rPr>
      </w:pPr>
      <w:r w:rsidRPr="00D35EBD">
        <w:rPr>
          <w:rFonts w:eastAsia="MS Mincho"/>
          <w:b/>
          <w:bCs/>
          <w:lang w:val="uk-UA"/>
        </w:rPr>
        <w:t xml:space="preserve">Оцінка основних засобів (визначення доцільної собівартості) при переході на  </w:t>
      </w:r>
      <w:r w:rsidRPr="00D35EBD">
        <w:rPr>
          <w:b/>
          <w:bCs/>
          <w:lang w:val="uk-UA"/>
        </w:rPr>
        <w:t>МСФЗ</w:t>
      </w:r>
    </w:p>
    <w:p w14:paraId="7E2BFBAD" w14:textId="77777777" w:rsidR="007E5963" w:rsidRPr="00D35EBD" w:rsidRDefault="007E5963" w:rsidP="00D35EBD">
      <w:pPr>
        <w:shd w:val="clear" w:color="auto" w:fill="FFFFFF"/>
        <w:tabs>
          <w:tab w:val="left" w:pos="360"/>
        </w:tabs>
        <w:jc w:val="center"/>
        <w:rPr>
          <w:b/>
          <w:bCs/>
          <w:sz w:val="22"/>
          <w:szCs w:val="22"/>
          <w:lang w:val="uk-UA"/>
        </w:rPr>
      </w:pPr>
    </w:p>
    <w:p w14:paraId="6E94B36F" w14:textId="24D7F068" w:rsidR="00365C0C" w:rsidRPr="00E67971" w:rsidRDefault="00365C0C" w:rsidP="00B16D69">
      <w:pPr>
        <w:spacing w:after="240"/>
        <w:ind w:firstLine="284"/>
        <w:rPr>
          <w:b/>
          <w:lang w:val="uk-UA"/>
        </w:rPr>
      </w:pPr>
      <w:r w:rsidRPr="00E67971">
        <w:rPr>
          <w:b/>
          <w:lang w:val="uk-UA"/>
        </w:rPr>
        <w:t>ЦІЛІ</w:t>
      </w:r>
    </w:p>
    <w:p w14:paraId="59B4A1BC"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r w:rsidRPr="007E5963">
        <w:rPr>
          <w:rFonts w:ascii="Times New Roman" w:hAnsi="Times New Roman" w:cs="Times New Roman"/>
          <w:lang w:val="uk-UA"/>
        </w:rPr>
        <w:t xml:space="preserve"> З метою переходу на МСФЗ (Міжнародні Стандарти Фінансової Звітності), та достовірного відображення вартості основних засобів,  здійснити переоцінку основних засобів відповідно до п.5 Додатку Г. IFRS 1 «</w:t>
      </w:r>
      <w:hyperlink r:id="rId15" w:history="1">
        <w:r w:rsidRPr="007E5963">
          <w:rPr>
            <w:rFonts w:ascii="Times New Roman" w:hAnsi="Times New Roman" w:cs="Times New Roman"/>
            <w:lang w:val="uk-UA"/>
          </w:rPr>
          <w:t>Перше застосування Міжнародних стандартів фінансової звітності</w:t>
        </w:r>
      </w:hyperlink>
      <w:r w:rsidRPr="007E5963">
        <w:rPr>
          <w:rFonts w:ascii="Times New Roman" w:hAnsi="Times New Roman" w:cs="Times New Roman"/>
          <w:lang w:val="uk-UA"/>
        </w:rPr>
        <w:t>», а саме:</w:t>
      </w:r>
    </w:p>
    <w:p w14:paraId="01AD7F3E"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p>
    <w:p w14:paraId="77F72E1C"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i/>
          <w:iCs/>
          <w:lang w:val="uk-UA"/>
        </w:rPr>
      </w:pPr>
      <w:r w:rsidRPr="007E5963">
        <w:rPr>
          <w:rFonts w:ascii="Times New Roman" w:hAnsi="Times New Roman" w:cs="Times New Roman"/>
          <w:b/>
          <w:bCs/>
          <w:lang w:val="uk-UA"/>
        </w:rPr>
        <w:t>«</w:t>
      </w:r>
      <w:r w:rsidRPr="007E5963">
        <w:rPr>
          <w:rFonts w:ascii="Times New Roman" w:hAnsi="Times New Roman" w:cs="Times New Roman"/>
          <w:i/>
          <w:iCs/>
          <w:lang w:val="uk-UA"/>
        </w:rPr>
        <w:t>Суб’єкт господарювання може вибрати оцінити об’єкт основних засобів на дату переходу на МСФЗ за його справедливою вартістю та використати цю справедливу вартість як доцільну собівартість на цю дату.»</w:t>
      </w:r>
    </w:p>
    <w:p w14:paraId="60B0D80A"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p>
    <w:p w14:paraId="7B5CEFBD" w14:textId="54203FEC"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r w:rsidRPr="007E5963">
        <w:rPr>
          <w:rFonts w:ascii="Times New Roman" w:hAnsi="Times New Roman" w:cs="Times New Roman"/>
          <w:lang w:val="uk-UA"/>
        </w:rPr>
        <w:t>Оцін</w:t>
      </w:r>
      <w:r w:rsidR="005F1839">
        <w:rPr>
          <w:rFonts w:ascii="Times New Roman" w:hAnsi="Times New Roman" w:cs="Times New Roman"/>
          <w:lang w:val="uk-UA"/>
        </w:rPr>
        <w:t>ці</w:t>
      </w:r>
      <w:r w:rsidRPr="007E5963">
        <w:rPr>
          <w:rFonts w:ascii="Times New Roman" w:hAnsi="Times New Roman" w:cs="Times New Roman"/>
          <w:lang w:val="uk-UA"/>
        </w:rPr>
        <w:t xml:space="preserve"> підлягають всі об’єкти основних засобів (крім МНМА), які знаходяться в обліку групи компаній Товариства Червоного Хреста України станом на 31.12.2024 року, та були придбані більше 2 років назад (раніше 2023 року)</w:t>
      </w:r>
      <w:r w:rsidRPr="007E5963">
        <w:rPr>
          <w:rStyle w:val="af3"/>
          <w:rFonts w:ascii="Times New Roman" w:hAnsi="Times New Roman" w:cs="Times New Roman"/>
          <w:lang w:val="uk-UA"/>
        </w:rPr>
        <w:footnoteReference w:id="2"/>
      </w:r>
      <w:r w:rsidRPr="007E5963">
        <w:rPr>
          <w:rFonts w:ascii="Times New Roman" w:hAnsi="Times New Roman" w:cs="Times New Roman"/>
          <w:lang w:val="uk-UA"/>
        </w:rPr>
        <w:t>, а також об’єкти основних засобів які були отримані безкоштовно.</w:t>
      </w:r>
    </w:p>
    <w:p w14:paraId="37662C62"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p>
    <w:p w14:paraId="65C175DB"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r w:rsidRPr="007E5963">
        <w:rPr>
          <w:rFonts w:ascii="Times New Roman" w:hAnsi="Times New Roman" w:cs="Times New Roman"/>
          <w:lang w:val="uk-UA"/>
        </w:rPr>
        <w:t>Дані про кількість об’єктів, що обліковуються станом на 31.12.2024 р. наведені у таблиці.</w:t>
      </w:r>
    </w:p>
    <w:p w14:paraId="49D32C9F" w14:textId="77777777" w:rsidR="00365C0C" w:rsidRPr="007E5963" w:rsidRDefault="00365C0C" w:rsidP="00365C0C">
      <w:pPr>
        <w:pStyle w:val="ab"/>
        <w:spacing w:before="0" w:beforeAutospacing="0" w:after="0" w:afterAutospacing="0"/>
        <w:ind w:left="142"/>
        <w:jc w:val="both"/>
        <w:textAlignment w:val="baseline"/>
        <w:rPr>
          <w:rFonts w:ascii="Times New Roman" w:hAnsi="Times New Roman" w:cs="Times New Roman"/>
        </w:rPr>
      </w:pPr>
    </w:p>
    <w:tbl>
      <w:tblPr>
        <w:tblW w:w="5000" w:type="pct"/>
        <w:tblLayout w:type="fixed"/>
        <w:tblLook w:val="04A0" w:firstRow="1" w:lastRow="0" w:firstColumn="1" w:lastColumn="0" w:noHBand="0" w:noVBand="1"/>
      </w:tblPr>
      <w:tblGrid>
        <w:gridCol w:w="2263"/>
        <w:gridCol w:w="1276"/>
        <w:gridCol w:w="1702"/>
        <w:gridCol w:w="4868"/>
      </w:tblGrid>
      <w:tr w:rsidR="00F7245A" w:rsidRPr="007E5963" w14:paraId="403B1E14" w14:textId="77777777" w:rsidTr="00B16D69">
        <w:trPr>
          <w:trHeight w:val="288"/>
        </w:trPr>
        <w:tc>
          <w:tcPr>
            <w:tcW w:w="11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63B657" w14:textId="77777777" w:rsidR="00F7245A" w:rsidRPr="00B209D5" w:rsidRDefault="00F7245A" w:rsidP="00F7245A">
            <w:pPr>
              <w:jc w:val="center"/>
              <w:rPr>
                <w:b/>
                <w:bCs/>
                <w:color w:val="000000"/>
                <w:lang w:val="uk-UA" w:eastAsia="uk-UA"/>
              </w:rPr>
            </w:pPr>
            <w:r w:rsidRPr="00B209D5">
              <w:rPr>
                <w:b/>
                <w:bCs/>
                <w:color w:val="000000"/>
                <w:lang w:val="uk-UA" w:eastAsia="uk-UA"/>
              </w:rPr>
              <w:t>Групи ОЗ</w:t>
            </w:r>
          </w:p>
        </w:tc>
        <w:tc>
          <w:tcPr>
            <w:tcW w:w="631" w:type="pct"/>
            <w:tcBorders>
              <w:top w:val="single" w:sz="4" w:space="0" w:color="auto"/>
              <w:left w:val="nil"/>
              <w:bottom w:val="single" w:sz="4" w:space="0" w:color="auto"/>
              <w:right w:val="single" w:sz="4" w:space="0" w:color="auto"/>
            </w:tcBorders>
            <w:shd w:val="clear" w:color="000000" w:fill="F2F2F2"/>
            <w:vAlign w:val="center"/>
          </w:tcPr>
          <w:p w14:paraId="4B1941B0" w14:textId="65C22B16" w:rsidR="00F7245A" w:rsidRPr="002E3B3E" w:rsidRDefault="00F7245A" w:rsidP="00F7245A">
            <w:pPr>
              <w:jc w:val="center"/>
              <w:rPr>
                <w:b/>
                <w:bCs/>
                <w:color w:val="000000"/>
                <w:lang w:val="uk-UA" w:eastAsia="uk-UA"/>
              </w:rPr>
            </w:pPr>
            <w:r w:rsidRPr="002E3B3E">
              <w:rPr>
                <w:b/>
                <w:bCs/>
                <w:color w:val="000000"/>
                <w:lang w:val="uk-UA" w:eastAsia="uk-UA"/>
              </w:rPr>
              <w:t>Рахунок обліку </w:t>
            </w:r>
          </w:p>
        </w:tc>
        <w:tc>
          <w:tcPr>
            <w:tcW w:w="842" w:type="pct"/>
            <w:tcBorders>
              <w:top w:val="single" w:sz="4" w:space="0" w:color="auto"/>
              <w:left w:val="single" w:sz="4" w:space="0" w:color="auto"/>
              <w:bottom w:val="single" w:sz="4" w:space="0" w:color="auto"/>
              <w:right w:val="single" w:sz="4" w:space="0" w:color="auto"/>
            </w:tcBorders>
            <w:shd w:val="clear" w:color="000000" w:fill="F2F2F2"/>
            <w:vAlign w:val="center"/>
          </w:tcPr>
          <w:p w14:paraId="7F5EC195" w14:textId="7D92C906" w:rsidR="00F7245A" w:rsidRDefault="00F7245A" w:rsidP="00F7245A">
            <w:pPr>
              <w:jc w:val="center"/>
              <w:rPr>
                <w:b/>
                <w:bCs/>
                <w:color w:val="000000"/>
                <w:lang w:val="uk-UA" w:eastAsia="uk-UA"/>
              </w:rPr>
            </w:pPr>
            <w:r w:rsidRPr="00B209D5">
              <w:rPr>
                <w:b/>
                <w:bCs/>
                <w:color w:val="000000"/>
                <w:lang w:val="uk-UA" w:eastAsia="uk-UA"/>
              </w:rPr>
              <w:t>Кількість об'єктів (мін)</w:t>
            </w:r>
          </w:p>
        </w:tc>
        <w:tc>
          <w:tcPr>
            <w:tcW w:w="2408" w:type="pct"/>
            <w:tcBorders>
              <w:top w:val="single" w:sz="4" w:space="0" w:color="auto"/>
              <w:left w:val="single" w:sz="4" w:space="0" w:color="auto"/>
              <w:bottom w:val="single" w:sz="4" w:space="0" w:color="auto"/>
              <w:right w:val="single" w:sz="4" w:space="0" w:color="auto"/>
            </w:tcBorders>
            <w:shd w:val="clear" w:color="000000" w:fill="F2F2F2"/>
            <w:vAlign w:val="center"/>
          </w:tcPr>
          <w:p w14:paraId="0B74B699" w14:textId="185CA289" w:rsidR="00F7245A" w:rsidRPr="00B209D5" w:rsidRDefault="00F7245A" w:rsidP="00F7245A">
            <w:pPr>
              <w:jc w:val="center"/>
              <w:rPr>
                <w:b/>
                <w:bCs/>
                <w:color w:val="000000"/>
                <w:lang w:val="uk-UA" w:eastAsia="uk-UA"/>
              </w:rPr>
            </w:pPr>
            <w:r>
              <w:rPr>
                <w:b/>
                <w:bCs/>
                <w:color w:val="000000"/>
                <w:lang w:val="uk-UA" w:eastAsia="uk-UA"/>
              </w:rPr>
              <w:t>Характеристики</w:t>
            </w:r>
          </w:p>
        </w:tc>
      </w:tr>
      <w:tr w:rsidR="00F7245A" w:rsidRPr="007E5963" w14:paraId="1BDC71F8"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36FDC028" w14:textId="77777777" w:rsidR="00F7245A" w:rsidRPr="00B209D5" w:rsidRDefault="00F7245A" w:rsidP="00F7245A">
            <w:pPr>
              <w:rPr>
                <w:color w:val="000000"/>
                <w:lang w:val="uk-UA" w:eastAsia="uk-UA"/>
              </w:rPr>
            </w:pPr>
            <w:r w:rsidRPr="00B209D5">
              <w:rPr>
                <w:color w:val="000000"/>
                <w:lang w:val="uk-UA" w:eastAsia="uk-UA"/>
              </w:rPr>
              <w:t xml:space="preserve">Земельні ділянки </w:t>
            </w:r>
          </w:p>
        </w:tc>
        <w:tc>
          <w:tcPr>
            <w:tcW w:w="631" w:type="pct"/>
            <w:tcBorders>
              <w:top w:val="single" w:sz="4" w:space="0" w:color="auto"/>
              <w:left w:val="nil"/>
              <w:bottom w:val="single" w:sz="4" w:space="0" w:color="auto"/>
              <w:right w:val="single" w:sz="4" w:space="0" w:color="auto"/>
            </w:tcBorders>
            <w:vAlign w:val="center"/>
          </w:tcPr>
          <w:p w14:paraId="4E9051BC" w14:textId="391EF201" w:rsidR="00F7245A" w:rsidRDefault="00F7245A" w:rsidP="00F7245A">
            <w:pPr>
              <w:jc w:val="center"/>
              <w:rPr>
                <w:color w:val="000000"/>
                <w:lang w:val="uk-UA" w:eastAsia="uk-UA"/>
              </w:rPr>
            </w:pPr>
            <w:r>
              <w:t>101</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E6E54CE" w14:textId="0336DA27" w:rsidR="00F7245A" w:rsidRDefault="00F7245A" w:rsidP="00F7245A">
            <w:pPr>
              <w:ind w:left="-139" w:firstLine="139"/>
              <w:jc w:val="center"/>
              <w:rPr>
                <w:color w:val="000000"/>
                <w:lang w:val="uk-UA" w:eastAsia="uk-UA"/>
              </w:rPr>
            </w:pPr>
            <w:r w:rsidRPr="007E5963">
              <w:rPr>
                <w:color w:val="000000"/>
                <w:lang w:eastAsia="uk-UA"/>
              </w:rPr>
              <w:t>1</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69EC09A8" w14:textId="6F1122AD" w:rsidR="00F7245A" w:rsidRPr="00D10CDB" w:rsidRDefault="00F7245A" w:rsidP="00F7245A">
            <w:pPr>
              <w:ind w:left="-139" w:firstLine="139"/>
              <w:jc w:val="center"/>
              <w:rPr>
                <w:color w:val="000000"/>
                <w:lang w:val="uk-UA" w:eastAsia="uk-UA"/>
              </w:rPr>
            </w:pPr>
            <w:r>
              <w:rPr>
                <w:color w:val="000000"/>
                <w:lang w:val="uk-UA" w:eastAsia="uk-UA"/>
              </w:rPr>
              <w:t>Ділянки, які знаходяться під офісним приміщенням</w:t>
            </w:r>
            <w:r w:rsidR="00984FE4">
              <w:rPr>
                <w:color w:val="000000"/>
                <w:lang w:val="uk-UA" w:eastAsia="uk-UA"/>
              </w:rPr>
              <w:t xml:space="preserve"> у м. Львів</w:t>
            </w:r>
          </w:p>
        </w:tc>
      </w:tr>
      <w:tr w:rsidR="00F7245A" w:rsidRPr="007E5963" w14:paraId="2CB404B1"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730CF80E" w14:textId="77777777" w:rsidR="00F7245A" w:rsidRPr="00B209D5" w:rsidRDefault="00F7245A" w:rsidP="00F7245A">
            <w:pPr>
              <w:rPr>
                <w:color w:val="000000"/>
                <w:lang w:val="uk-UA" w:eastAsia="uk-UA"/>
              </w:rPr>
            </w:pPr>
            <w:r w:rsidRPr="00B209D5">
              <w:rPr>
                <w:color w:val="000000"/>
                <w:lang w:val="uk-UA" w:eastAsia="uk-UA"/>
              </w:rPr>
              <w:t>Будівлі та споруди</w:t>
            </w:r>
          </w:p>
        </w:tc>
        <w:tc>
          <w:tcPr>
            <w:tcW w:w="631" w:type="pct"/>
            <w:tcBorders>
              <w:top w:val="single" w:sz="4" w:space="0" w:color="auto"/>
              <w:left w:val="nil"/>
              <w:bottom w:val="single" w:sz="4" w:space="0" w:color="auto"/>
              <w:right w:val="single" w:sz="4" w:space="0" w:color="auto"/>
            </w:tcBorders>
            <w:vAlign w:val="center"/>
          </w:tcPr>
          <w:p w14:paraId="102BA45B" w14:textId="7336DAD7" w:rsidR="00F7245A" w:rsidRPr="007E5963" w:rsidRDefault="00F7245A" w:rsidP="00F7245A">
            <w:pPr>
              <w:jc w:val="center"/>
              <w:rPr>
                <w:color w:val="000000"/>
                <w:lang w:eastAsia="uk-UA"/>
              </w:rPr>
            </w:pPr>
            <w:r>
              <w:t>103</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4175083" w14:textId="6A5BBE17" w:rsidR="00F7245A" w:rsidRPr="00F506E9" w:rsidRDefault="00F7245A" w:rsidP="00F7245A">
            <w:pPr>
              <w:jc w:val="center"/>
              <w:rPr>
                <w:color w:val="000000"/>
                <w:lang w:val="uk-UA" w:eastAsia="uk-UA"/>
              </w:rPr>
            </w:pPr>
            <w:r w:rsidRPr="007E5963">
              <w:rPr>
                <w:color w:val="000000"/>
                <w:lang w:eastAsia="uk-UA"/>
              </w:rPr>
              <w:t>8</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291BA47D" w14:textId="0A2E9254" w:rsidR="00F7245A" w:rsidRPr="00F506E9" w:rsidRDefault="00F7245A" w:rsidP="00F7245A">
            <w:pPr>
              <w:jc w:val="center"/>
              <w:rPr>
                <w:color w:val="000000"/>
                <w:lang w:val="uk-UA" w:eastAsia="uk-UA"/>
              </w:rPr>
            </w:pPr>
            <w:r w:rsidRPr="00F506E9">
              <w:rPr>
                <w:color w:val="000000"/>
                <w:lang w:val="uk-UA" w:eastAsia="uk-UA"/>
              </w:rPr>
              <w:t>3 будинки та 5 споруд</w:t>
            </w:r>
          </w:p>
        </w:tc>
      </w:tr>
      <w:tr w:rsidR="00F7245A" w:rsidRPr="007E5963" w14:paraId="4934955B"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1124D019" w14:textId="77777777" w:rsidR="00F7245A" w:rsidRPr="00B209D5" w:rsidRDefault="00F7245A" w:rsidP="00F7245A">
            <w:pPr>
              <w:rPr>
                <w:color w:val="000000"/>
                <w:lang w:val="uk-UA" w:eastAsia="uk-UA"/>
              </w:rPr>
            </w:pPr>
            <w:r w:rsidRPr="00B209D5">
              <w:rPr>
                <w:color w:val="000000"/>
                <w:lang w:val="uk-UA" w:eastAsia="uk-UA"/>
              </w:rPr>
              <w:t>Меблі та обладнання</w:t>
            </w:r>
          </w:p>
        </w:tc>
        <w:tc>
          <w:tcPr>
            <w:tcW w:w="631" w:type="pct"/>
            <w:tcBorders>
              <w:top w:val="single" w:sz="4" w:space="0" w:color="auto"/>
              <w:left w:val="nil"/>
              <w:bottom w:val="single" w:sz="4" w:space="0" w:color="auto"/>
              <w:right w:val="single" w:sz="4" w:space="0" w:color="auto"/>
            </w:tcBorders>
            <w:vAlign w:val="center"/>
          </w:tcPr>
          <w:p w14:paraId="3B3D43D1" w14:textId="1A765914" w:rsidR="00F7245A" w:rsidRPr="00262821" w:rsidRDefault="00F7245A" w:rsidP="00F7245A">
            <w:pPr>
              <w:jc w:val="center"/>
              <w:rPr>
                <w:color w:val="000000"/>
                <w:lang w:eastAsia="uk-UA"/>
              </w:rPr>
            </w:pPr>
            <w:r>
              <w:t>104</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3DDB5BE" w14:textId="5C9873D7" w:rsidR="00F7245A" w:rsidRPr="00F506E9" w:rsidRDefault="00F7245A" w:rsidP="00F7245A">
            <w:pPr>
              <w:jc w:val="center"/>
              <w:rPr>
                <w:color w:val="000000"/>
                <w:lang w:val="uk-UA" w:eastAsia="uk-UA"/>
              </w:rPr>
            </w:pPr>
            <w:r>
              <w:rPr>
                <w:color w:val="000000"/>
                <w:lang w:val="uk-UA" w:eastAsia="uk-UA"/>
              </w:rPr>
              <w:t>98</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44E18B66" w14:textId="08086B1B" w:rsidR="00F7245A" w:rsidRPr="00F506E9" w:rsidRDefault="00F7245A" w:rsidP="00F7245A">
            <w:pPr>
              <w:jc w:val="center"/>
              <w:rPr>
                <w:color w:val="000000"/>
                <w:lang w:val="uk-UA" w:eastAsia="uk-UA"/>
              </w:rPr>
            </w:pPr>
            <w:r w:rsidRPr="00F506E9">
              <w:rPr>
                <w:color w:val="000000"/>
                <w:lang w:val="uk-UA" w:eastAsia="uk-UA"/>
              </w:rPr>
              <w:t>Здебільшого генератори, а також мед.обладнання, холодильники, тощо</w:t>
            </w:r>
          </w:p>
        </w:tc>
      </w:tr>
      <w:tr w:rsidR="00F7245A" w:rsidRPr="007E5963" w14:paraId="201E41FA"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01528E2B" w14:textId="47AF3A5D" w:rsidR="00F7245A" w:rsidRPr="002E3B3E" w:rsidRDefault="00F7245A" w:rsidP="00F7245A">
            <w:pPr>
              <w:rPr>
                <w:color w:val="000000"/>
                <w:lang w:val="uk-UA" w:eastAsia="uk-UA"/>
              </w:rPr>
            </w:pPr>
            <w:r w:rsidRPr="002E3B3E">
              <w:rPr>
                <w:color w:val="000000"/>
                <w:lang w:val="uk-UA" w:eastAsia="uk-UA"/>
              </w:rPr>
              <w:t>Транспортні засоби</w:t>
            </w:r>
          </w:p>
        </w:tc>
        <w:tc>
          <w:tcPr>
            <w:tcW w:w="631" w:type="pct"/>
            <w:tcBorders>
              <w:top w:val="single" w:sz="4" w:space="0" w:color="auto"/>
              <w:left w:val="nil"/>
              <w:bottom w:val="single" w:sz="4" w:space="0" w:color="auto"/>
              <w:right w:val="single" w:sz="4" w:space="0" w:color="auto"/>
            </w:tcBorders>
            <w:vAlign w:val="center"/>
          </w:tcPr>
          <w:p w14:paraId="57BEBF40" w14:textId="49440831" w:rsidR="00F7245A" w:rsidRDefault="00F7245A" w:rsidP="00F7245A">
            <w:pPr>
              <w:jc w:val="center"/>
            </w:pPr>
            <w:r>
              <w:t>105</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999F6CA" w14:textId="5FA0D6C5" w:rsidR="00F7245A" w:rsidRPr="00F506E9" w:rsidRDefault="00F7245A" w:rsidP="00F7245A">
            <w:pPr>
              <w:jc w:val="center"/>
              <w:rPr>
                <w:lang w:val="uk-UA"/>
              </w:rPr>
            </w:pPr>
            <w:r>
              <w:rPr>
                <w:color w:val="000000"/>
                <w:lang w:val="uk-UA" w:eastAsia="uk-UA"/>
              </w:rPr>
              <w:t>676</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147C436B" w14:textId="4206125B" w:rsidR="00F7245A" w:rsidRPr="00F506E9" w:rsidRDefault="0033367C" w:rsidP="00F7245A">
            <w:pPr>
              <w:jc w:val="center"/>
              <w:rPr>
                <w:lang w:val="uk-UA" w:eastAsia="uk-UA"/>
              </w:rPr>
            </w:pPr>
            <w:r w:rsidRPr="0033367C">
              <w:rPr>
                <w:lang w:val="uk-UA"/>
              </w:rPr>
              <w:t xml:space="preserve">Автомобілі (476 шт. в т.ч. </w:t>
            </w:r>
            <w:r>
              <w:rPr>
                <w:lang w:val="uk-UA"/>
              </w:rPr>
              <w:t>в</w:t>
            </w:r>
            <w:r w:rsidRPr="0033367C">
              <w:rPr>
                <w:lang w:val="uk-UA"/>
              </w:rPr>
              <w:t>антажні 13,) причепи 182 шт., судна та  навантажувачі</w:t>
            </w:r>
            <w:r w:rsidRPr="0033367C">
              <w:t>.</w:t>
            </w:r>
          </w:p>
        </w:tc>
      </w:tr>
      <w:tr w:rsidR="00F7245A" w:rsidRPr="007E5963" w14:paraId="20B5F8E1"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43D5E232" w14:textId="77777777" w:rsidR="00F7245A" w:rsidRPr="00B209D5" w:rsidRDefault="00F7245A" w:rsidP="00F7245A">
            <w:pPr>
              <w:rPr>
                <w:color w:val="000000"/>
                <w:lang w:val="uk-UA" w:eastAsia="uk-UA"/>
              </w:rPr>
            </w:pPr>
            <w:r w:rsidRPr="00B209D5">
              <w:rPr>
                <w:color w:val="000000"/>
                <w:lang w:val="uk-UA" w:eastAsia="uk-UA"/>
              </w:rPr>
              <w:t>Прилади та інструменти</w:t>
            </w:r>
          </w:p>
        </w:tc>
        <w:tc>
          <w:tcPr>
            <w:tcW w:w="631" w:type="pct"/>
            <w:tcBorders>
              <w:top w:val="single" w:sz="4" w:space="0" w:color="auto"/>
              <w:left w:val="nil"/>
              <w:bottom w:val="single" w:sz="4" w:space="0" w:color="auto"/>
              <w:right w:val="single" w:sz="4" w:space="0" w:color="auto"/>
            </w:tcBorders>
            <w:vAlign w:val="center"/>
          </w:tcPr>
          <w:p w14:paraId="3C63E37B" w14:textId="51FB14EB" w:rsidR="00F7245A" w:rsidRDefault="00F7245A" w:rsidP="00F7245A">
            <w:pPr>
              <w:jc w:val="center"/>
            </w:pPr>
            <w:r>
              <w:t>106</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0D6C850" w14:textId="385C3156" w:rsidR="00F7245A" w:rsidRPr="00F506E9" w:rsidRDefault="00F7245A" w:rsidP="00F7245A">
            <w:pPr>
              <w:jc w:val="center"/>
              <w:rPr>
                <w:lang w:val="uk-UA"/>
              </w:rPr>
            </w:pPr>
            <w:r>
              <w:rPr>
                <w:color w:val="000000"/>
                <w:lang w:val="uk-UA" w:eastAsia="uk-UA"/>
              </w:rPr>
              <w:t>250</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47576B1F" w14:textId="4050D3A0" w:rsidR="00F7245A" w:rsidRPr="00F506E9" w:rsidRDefault="00F7245A" w:rsidP="00F7245A">
            <w:pPr>
              <w:jc w:val="center"/>
              <w:rPr>
                <w:lang w:val="uk-UA" w:eastAsia="uk-UA"/>
              </w:rPr>
            </w:pPr>
            <w:r w:rsidRPr="00F506E9">
              <w:rPr>
                <w:lang w:val="uk-UA"/>
              </w:rPr>
              <w:t>Переважно бронезахист, медичні манекени, ноші, намети</w:t>
            </w:r>
          </w:p>
        </w:tc>
      </w:tr>
      <w:tr w:rsidR="00F7245A" w:rsidRPr="007E5963" w14:paraId="77F587D1"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00199D38" w14:textId="77777777" w:rsidR="00F7245A" w:rsidRPr="00B209D5" w:rsidRDefault="00F7245A" w:rsidP="00F7245A">
            <w:pPr>
              <w:rPr>
                <w:color w:val="000000"/>
                <w:lang w:val="uk-UA" w:eastAsia="uk-UA"/>
              </w:rPr>
            </w:pPr>
            <w:r w:rsidRPr="00B209D5">
              <w:rPr>
                <w:color w:val="000000"/>
                <w:lang w:val="uk-UA" w:eastAsia="uk-UA"/>
              </w:rPr>
              <w:t>Інші об'єкти</w:t>
            </w:r>
          </w:p>
        </w:tc>
        <w:tc>
          <w:tcPr>
            <w:tcW w:w="631" w:type="pct"/>
            <w:tcBorders>
              <w:top w:val="single" w:sz="4" w:space="0" w:color="auto"/>
              <w:left w:val="nil"/>
              <w:bottom w:val="single" w:sz="4" w:space="0" w:color="auto"/>
              <w:right w:val="single" w:sz="4" w:space="0" w:color="auto"/>
            </w:tcBorders>
            <w:vAlign w:val="center"/>
          </w:tcPr>
          <w:p w14:paraId="5412F3B0" w14:textId="285E6266" w:rsidR="00F7245A" w:rsidRDefault="00F7245A" w:rsidP="00F7245A">
            <w:pPr>
              <w:jc w:val="center"/>
              <w:rPr>
                <w:color w:val="000000"/>
                <w:lang w:val="uk-UA" w:eastAsia="uk-UA"/>
              </w:rPr>
            </w:pPr>
            <w:r>
              <w:t>1091</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41F183B" w14:textId="43DD8E0D" w:rsidR="00F7245A" w:rsidRDefault="00F7245A" w:rsidP="00F7245A">
            <w:pPr>
              <w:jc w:val="center"/>
              <w:rPr>
                <w:color w:val="000000"/>
                <w:lang w:val="uk-UA" w:eastAsia="uk-UA"/>
              </w:rPr>
            </w:pPr>
            <w:r w:rsidRPr="007E5963">
              <w:rPr>
                <w:color w:val="000000"/>
                <w:lang w:eastAsia="uk-UA"/>
              </w:rPr>
              <w:t>1</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55893225" w14:textId="203E5771" w:rsidR="00F7245A" w:rsidRPr="00F506E9" w:rsidRDefault="00F7245A" w:rsidP="00F7245A">
            <w:pPr>
              <w:jc w:val="center"/>
              <w:rPr>
                <w:lang w:val="uk-UA" w:eastAsia="uk-UA"/>
              </w:rPr>
            </w:pPr>
            <w:r>
              <w:rPr>
                <w:color w:val="000000"/>
                <w:lang w:val="uk-UA" w:eastAsia="uk-UA"/>
              </w:rPr>
              <w:t>С</w:t>
            </w:r>
            <w:r w:rsidRPr="00F506E9">
              <w:rPr>
                <w:lang w:val="uk-UA"/>
              </w:rPr>
              <w:t>вітлова вежа</w:t>
            </w:r>
          </w:p>
        </w:tc>
      </w:tr>
      <w:tr w:rsidR="00F7245A" w:rsidRPr="007E5963" w14:paraId="046CEDEA"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E8E8E8" w:themeFill="background2"/>
            <w:noWrap/>
            <w:vAlign w:val="center"/>
            <w:hideMark/>
          </w:tcPr>
          <w:p w14:paraId="216864D9" w14:textId="77777777" w:rsidR="00F7245A" w:rsidRPr="00907FC6" w:rsidRDefault="00F7245A" w:rsidP="00F7245A">
            <w:pPr>
              <w:rPr>
                <w:b/>
                <w:bCs/>
                <w:color w:val="000000"/>
                <w:lang w:val="uk-UA" w:eastAsia="uk-UA"/>
              </w:rPr>
            </w:pPr>
            <w:r w:rsidRPr="00907FC6">
              <w:rPr>
                <w:b/>
                <w:bCs/>
                <w:color w:val="000000"/>
                <w:lang w:val="uk-UA" w:eastAsia="uk-UA"/>
              </w:rPr>
              <w:t>Всього</w:t>
            </w:r>
            <w:r w:rsidRPr="00907FC6">
              <w:rPr>
                <w:rStyle w:val="af3"/>
                <w:b/>
                <w:bCs/>
                <w:color w:val="000000"/>
                <w:lang w:val="uk-UA" w:eastAsia="uk-UA"/>
              </w:rPr>
              <w:footnoteReference w:id="3"/>
            </w:r>
          </w:p>
        </w:tc>
        <w:tc>
          <w:tcPr>
            <w:tcW w:w="631" w:type="pct"/>
            <w:tcBorders>
              <w:top w:val="single" w:sz="4" w:space="0" w:color="auto"/>
              <w:left w:val="nil"/>
              <w:bottom w:val="single" w:sz="4" w:space="0" w:color="auto"/>
              <w:right w:val="nil"/>
            </w:tcBorders>
            <w:shd w:val="clear" w:color="auto" w:fill="E8E8E8" w:themeFill="background2"/>
            <w:vAlign w:val="center"/>
          </w:tcPr>
          <w:p w14:paraId="3917A971" w14:textId="77777777" w:rsidR="00F7245A" w:rsidRPr="00907FC6" w:rsidRDefault="00F7245A" w:rsidP="00F7245A">
            <w:pPr>
              <w:jc w:val="center"/>
              <w:rPr>
                <w:b/>
                <w:bCs/>
                <w:color w:val="000000"/>
                <w:lang w:eastAsia="uk-UA"/>
              </w:rPr>
            </w:pPr>
          </w:p>
        </w:tc>
        <w:tc>
          <w:tcPr>
            <w:tcW w:w="842" w:type="pct"/>
            <w:tcBorders>
              <w:top w:val="single" w:sz="4" w:space="0" w:color="auto"/>
              <w:left w:val="nil"/>
              <w:bottom w:val="single" w:sz="4" w:space="0" w:color="auto"/>
              <w:right w:val="nil"/>
            </w:tcBorders>
            <w:shd w:val="clear" w:color="auto" w:fill="E8E8E8" w:themeFill="background2"/>
            <w:vAlign w:val="center"/>
          </w:tcPr>
          <w:p w14:paraId="46DB2875" w14:textId="38197574" w:rsidR="00F7245A" w:rsidRPr="00F51A7C" w:rsidRDefault="00F51A7C" w:rsidP="00F7245A">
            <w:pPr>
              <w:jc w:val="center"/>
              <w:rPr>
                <w:b/>
                <w:bCs/>
                <w:color w:val="000000"/>
                <w:lang w:val="uk-UA" w:eastAsia="uk-UA"/>
              </w:rPr>
            </w:pPr>
            <w:r>
              <w:rPr>
                <w:b/>
                <w:bCs/>
                <w:color w:val="000000"/>
                <w:lang w:val="uk-UA" w:eastAsia="uk-UA"/>
              </w:rPr>
              <w:t>1034</w:t>
            </w:r>
          </w:p>
        </w:tc>
        <w:tc>
          <w:tcPr>
            <w:tcW w:w="2408" w:type="pct"/>
            <w:tcBorders>
              <w:top w:val="single" w:sz="4" w:space="0" w:color="auto"/>
              <w:left w:val="nil"/>
              <w:bottom w:val="single" w:sz="4" w:space="0" w:color="auto"/>
              <w:right w:val="single" w:sz="4" w:space="0" w:color="auto"/>
            </w:tcBorders>
            <w:shd w:val="clear" w:color="auto" w:fill="E8E8E8" w:themeFill="background2"/>
            <w:vAlign w:val="center"/>
          </w:tcPr>
          <w:p w14:paraId="0F2E5292" w14:textId="7F6FEDB9" w:rsidR="00F7245A" w:rsidRPr="00907FC6" w:rsidRDefault="00F7245A" w:rsidP="00F7245A">
            <w:pPr>
              <w:jc w:val="center"/>
              <w:rPr>
                <w:b/>
                <w:bCs/>
                <w:color w:val="000000"/>
                <w:lang w:eastAsia="uk-UA"/>
              </w:rPr>
            </w:pPr>
          </w:p>
        </w:tc>
      </w:tr>
    </w:tbl>
    <w:p w14:paraId="4B3302A8" w14:textId="77777777" w:rsidR="00365C0C" w:rsidRDefault="00365C0C" w:rsidP="00365C0C">
      <w:pPr>
        <w:pStyle w:val="ab"/>
        <w:shd w:val="clear" w:color="auto" w:fill="FFFFFF"/>
        <w:spacing w:before="0" w:after="0" w:afterAutospacing="0"/>
        <w:ind w:left="142"/>
        <w:rPr>
          <w:rFonts w:ascii="Times New Roman" w:hAnsi="Times New Roman" w:cs="Times New Roman"/>
          <w:lang w:val="uk-UA"/>
        </w:rPr>
      </w:pPr>
      <w:r w:rsidRPr="007E5963">
        <w:rPr>
          <w:rFonts w:ascii="Times New Roman" w:hAnsi="Times New Roman" w:cs="Times New Roman"/>
          <w:lang w:val="uk-UA"/>
        </w:rPr>
        <w:t>Окремо звертаємо увагу, що застосування таких фінансових показників, як виручка або прибуток є неможливим у зв’язку з неприбутковою діяльністю Товариства.</w:t>
      </w:r>
    </w:p>
    <w:p w14:paraId="41C26EF1" w14:textId="280795A7" w:rsidR="00245910" w:rsidRDefault="00245910" w:rsidP="00365C0C">
      <w:pPr>
        <w:pStyle w:val="ab"/>
        <w:shd w:val="clear" w:color="auto" w:fill="FFFFFF"/>
        <w:spacing w:before="0" w:after="0" w:afterAutospacing="0"/>
        <w:ind w:left="142"/>
        <w:rPr>
          <w:rFonts w:ascii="Times New Roman" w:hAnsi="Times New Roman" w:cs="Times New Roman"/>
          <w:lang w:val="uk-UA"/>
        </w:rPr>
      </w:pPr>
      <w:r>
        <w:rPr>
          <w:rFonts w:ascii="Times New Roman" w:hAnsi="Times New Roman" w:cs="Times New Roman"/>
          <w:lang w:val="uk-UA"/>
        </w:rPr>
        <w:t xml:space="preserve">За результатами проведеної оцінки Виконавець зобов’язаний надати </w:t>
      </w:r>
      <w:r w:rsidRPr="00245910">
        <w:rPr>
          <w:rFonts w:ascii="Times New Roman" w:hAnsi="Times New Roman" w:cs="Times New Roman"/>
          <w:lang w:val="uk-UA"/>
        </w:rPr>
        <w:t>Звіт оцінювача з вказаною доцільно</w:t>
      </w:r>
      <w:r>
        <w:rPr>
          <w:rFonts w:ascii="Times New Roman" w:hAnsi="Times New Roman" w:cs="Times New Roman"/>
          <w:lang w:val="uk-UA"/>
        </w:rPr>
        <w:t>ю</w:t>
      </w:r>
      <w:r w:rsidRPr="00245910">
        <w:rPr>
          <w:rFonts w:ascii="Times New Roman" w:hAnsi="Times New Roman" w:cs="Times New Roman"/>
          <w:lang w:val="uk-UA"/>
        </w:rPr>
        <w:t xml:space="preserve"> собівартістю всіх об'єктів </w:t>
      </w:r>
      <w:r>
        <w:rPr>
          <w:rFonts w:ascii="Times New Roman" w:hAnsi="Times New Roman" w:cs="Times New Roman"/>
          <w:lang w:val="uk-UA"/>
        </w:rPr>
        <w:t>основних засобів</w:t>
      </w:r>
      <w:r w:rsidRPr="00245910">
        <w:rPr>
          <w:rFonts w:ascii="Times New Roman" w:hAnsi="Times New Roman" w:cs="Times New Roman"/>
          <w:lang w:val="uk-UA"/>
        </w:rPr>
        <w:t>.</w:t>
      </w:r>
      <w:r w:rsidR="00EB0D62">
        <w:rPr>
          <w:rFonts w:ascii="Times New Roman" w:hAnsi="Times New Roman" w:cs="Times New Roman"/>
          <w:lang w:val="uk-UA"/>
        </w:rPr>
        <w:t xml:space="preserve"> </w:t>
      </w:r>
    </w:p>
    <w:p w14:paraId="7EF9C630" w14:textId="313E94F4" w:rsidR="00365C0C" w:rsidRPr="004A2C01" w:rsidRDefault="00EB0D62" w:rsidP="004A2C01">
      <w:pPr>
        <w:pStyle w:val="ab"/>
        <w:shd w:val="clear" w:color="auto" w:fill="FFFFFF"/>
        <w:spacing w:before="0" w:beforeAutospacing="0" w:after="0" w:afterAutospacing="0"/>
        <w:ind w:left="142"/>
        <w:rPr>
          <w:rFonts w:ascii="Times New Roman" w:hAnsi="Times New Roman" w:cs="Times New Roman"/>
          <w:lang w:val="uk-UA"/>
        </w:rPr>
      </w:pPr>
      <w:r>
        <w:rPr>
          <w:rFonts w:ascii="Times New Roman" w:hAnsi="Times New Roman" w:cs="Times New Roman"/>
          <w:lang w:val="uk-UA"/>
        </w:rPr>
        <w:t>Звіт повинен бути наданий двома мовами (українською та англійською)</w:t>
      </w:r>
      <w:r w:rsidR="004A2C01">
        <w:rPr>
          <w:rFonts w:ascii="Times New Roman" w:hAnsi="Times New Roman" w:cs="Times New Roman"/>
          <w:lang w:val="uk-UA"/>
        </w:rPr>
        <w:t>.</w:t>
      </w:r>
      <w:r w:rsidR="00365C0C" w:rsidRPr="007E5963">
        <w:rPr>
          <w:rFonts w:ascii="Times New Roman" w:hAnsi="Times New Roman" w:cs="Times New Roman"/>
          <w:b/>
          <w:bCs/>
          <w:color w:val="242424"/>
          <w:bdr w:val="none" w:sz="0" w:space="0" w:color="auto" w:frame="1"/>
        </w:rPr>
        <w:t>       </w:t>
      </w:r>
    </w:p>
    <w:p w14:paraId="15E8682C" w14:textId="07EAFF3E" w:rsidR="00EA67E2" w:rsidRPr="007E5963" w:rsidRDefault="00EA67E2" w:rsidP="00B16BB6">
      <w:pPr>
        <w:rPr>
          <w:color w:val="000000"/>
          <w:lang w:val="uk-UA" w:eastAsia="uk-UA"/>
        </w:rPr>
      </w:pPr>
    </w:p>
    <w:sectPr w:rsidR="00EA67E2" w:rsidRPr="007E5963" w:rsidSect="004E7D16">
      <w:headerReference w:type="default" r:id="rId16"/>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87B5" w14:textId="77777777" w:rsidR="008F5A96" w:rsidRDefault="008F5A96" w:rsidP="00B948CF">
      <w:r>
        <w:separator/>
      </w:r>
    </w:p>
  </w:endnote>
  <w:endnote w:type="continuationSeparator" w:id="0">
    <w:p w14:paraId="60A9006B" w14:textId="77777777" w:rsidR="008F5A96" w:rsidRDefault="008F5A96" w:rsidP="00B948CF">
      <w:r>
        <w:continuationSeparator/>
      </w:r>
    </w:p>
  </w:endnote>
  <w:endnote w:type="continuationNotice" w:id="1">
    <w:p w14:paraId="6919A3D2" w14:textId="77777777" w:rsidR="008F5A96" w:rsidRDefault="008F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FA3C" w14:textId="77777777" w:rsidR="008F5A96" w:rsidRDefault="008F5A96" w:rsidP="00B948CF">
      <w:r>
        <w:separator/>
      </w:r>
    </w:p>
  </w:footnote>
  <w:footnote w:type="continuationSeparator" w:id="0">
    <w:p w14:paraId="7182E1E7" w14:textId="77777777" w:rsidR="008F5A96" w:rsidRDefault="008F5A96" w:rsidP="00B948CF">
      <w:r>
        <w:continuationSeparator/>
      </w:r>
    </w:p>
  </w:footnote>
  <w:footnote w:type="continuationNotice" w:id="1">
    <w:p w14:paraId="2C2D2086" w14:textId="77777777" w:rsidR="008F5A96" w:rsidRDefault="008F5A96"/>
  </w:footnote>
  <w:footnote w:id="2">
    <w:p w14:paraId="45B65639" w14:textId="7A29469D" w:rsidR="00365C0C" w:rsidRPr="00365C0C" w:rsidRDefault="00365C0C" w:rsidP="00365C0C">
      <w:pPr>
        <w:pStyle w:val="af1"/>
        <w:rPr>
          <w:lang w:val="uk-UA"/>
        </w:rPr>
      </w:pPr>
      <w:r>
        <w:rPr>
          <w:rStyle w:val="af3"/>
        </w:rPr>
        <w:footnoteRef/>
      </w:r>
      <w:r>
        <w:t xml:space="preserve"> </w:t>
      </w:r>
      <w:r w:rsidRPr="00365C0C">
        <w:rPr>
          <w:lang w:val="uk-UA"/>
        </w:rPr>
        <w:t>Передбачається</w:t>
      </w:r>
      <w:r>
        <w:rPr>
          <w:lang w:val="uk-UA"/>
        </w:rPr>
        <w:t>,</w:t>
      </w:r>
      <w:r w:rsidRPr="00365C0C">
        <w:rPr>
          <w:lang w:val="uk-UA"/>
        </w:rPr>
        <w:t xml:space="preserve"> що вартість основних засобів придбаних у 2024-2023 роках не суттєво відрізняється від їх справедливої вартості, не буде мати суттєвого впливу на показники відображені у фінансової звідності. </w:t>
      </w:r>
    </w:p>
  </w:footnote>
  <w:footnote w:id="3">
    <w:p w14:paraId="7F16A2D8" w14:textId="77777777" w:rsidR="00F7245A" w:rsidRPr="00365C0C" w:rsidRDefault="00F7245A" w:rsidP="00F7245A">
      <w:pPr>
        <w:pStyle w:val="af1"/>
        <w:rPr>
          <w:lang w:val="uk-UA"/>
        </w:rPr>
      </w:pPr>
      <w:r w:rsidRPr="00365C0C">
        <w:rPr>
          <w:rStyle w:val="af3"/>
          <w:lang w:val="uk-UA"/>
        </w:rPr>
        <w:footnoteRef/>
      </w:r>
      <w:r w:rsidRPr="00365C0C">
        <w:rPr>
          <w:lang w:val="uk-UA"/>
        </w:rPr>
        <w:t xml:space="preserve"> Точне число об’єктів буде встановлено, після підрахунку об’єктів що були отримані безкоштовно.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62E8623"/>
    <w:multiLevelType w:val="hybridMultilevel"/>
    <w:tmpl w:val="179C27EE"/>
    <w:lvl w:ilvl="0" w:tplc="597C50E4">
      <w:start w:val="1"/>
      <w:numFmt w:val="bullet"/>
      <w:lvlText w:val=""/>
      <w:lvlJc w:val="left"/>
      <w:pPr>
        <w:ind w:left="720" w:hanging="360"/>
      </w:pPr>
      <w:rPr>
        <w:rFonts w:ascii="Symbol" w:hAnsi="Symbol" w:hint="default"/>
      </w:rPr>
    </w:lvl>
    <w:lvl w:ilvl="1" w:tplc="B8F668B6">
      <w:start w:val="1"/>
      <w:numFmt w:val="bullet"/>
      <w:lvlText w:val="o"/>
      <w:lvlJc w:val="left"/>
      <w:pPr>
        <w:ind w:left="1440" w:hanging="360"/>
      </w:pPr>
      <w:rPr>
        <w:rFonts w:ascii="Courier New" w:hAnsi="Courier New" w:hint="default"/>
      </w:rPr>
    </w:lvl>
    <w:lvl w:ilvl="2" w:tplc="AD365C0A">
      <w:start w:val="1"/>
      <w:numFmt w:val="bullet"/>
      <w:lvlText w:val=""/>
      <w:lvlJc w:val="left"/>
      <w:pPr>
        <w:ind w:left="2160" w:hanging="360"/>
      </w:pPr>
      <w:rPr>
        <w:rFonts w:ascii="Wingdings" w:hAnsi="Wingdings" w:hint="default"/>
      </w:rPr>
    </w:lvl>
    <w:lvl w:ilvl="3" w:tplc="5C3606C4">
      <w:start w:val="1"/>
      <w:numFmt w:val="bullet"/>
      <w:lvlText w:val=""/>
      <w:lvlJc w:val="left"/>
      <w:pPr>
        <w:ind w:left="2880" w:hanging="360"/>
      </w:pPr>
      <w:rPr>
        <w:rFonts w:ascii="Symbol" w:hAnsi="Symbol" w:hint="default"/>
      </w:rPr>
    </w:lvl>
    <w:lvl w:ilvl="4" w:tplc="EDDA5B54">
      <w:start w:val="1"/>
      <w:numFmt w:val="bullet"/>
      <w:lvlText w:val="o"/>
      <w:lvlJc w:val="left"/>
      <w:pPr>
        <w:ind w:left="3600" w:hanging="360"/>
      </w:pPr>
      <w:rPr>
        <w:rFonts w:ascii="Courier New" w:hAnsi="Courier New" w:hint="default"/>
      </w:rPr>
    </w:lvl>
    <w:lvl w:ilvl="5" w:tplc="34923E4E">
      <w:start w:val="1"/>
      <w:numFmt w:val="bullet"/>
      <w:lvlText w:val=""/>
      <w:lvlJc w:val="left"/>
      <w:pPr>
        <w:ind w:left="4320" w:hanging="360"/>
      </w:pPr>
      <w:rPr>
        <w:rFonts w:ascii="Wingdings" w:hAnsi="Wingdings" w:hint="default"/>
      </w:rPr>
    </w:lvl>
    <w:lvl w:ilvl="6" w:tplc="B2F4D226">
      <w:start w:val="1"/>
      <w:numFmt w:val="bullet"/>
      <w:lvlText w:val=""/>
      <w:lvlJc w:val="left"/>
      <w:pPr>
        <w:ind w:left="5040" w:hanging="360"/>
      </w:pPr>
      <w:rPr>
        <w:rFonts w:ascii="Symbol" w:hAnsi="Symbol" w:hint="default"/>
      </w:rPr>
    </w:lvl>
    <w:lvl w:ilvl="7" w:tplc="988A669A">
      <w:start w:val="1"/>
      <w:numFmt w:val="bullet"/>
      <w:lvlText w:val="o"/>
      <w:lvlJc w:val="left"/>
      <w:pPr>
        <w:ind w:left="5760" w:hanging="360"/>
      </w:pPr>
      <w:rPr>
        <w:rFonts w:ascii="Courier New" w:hAnsi="Courier New" w:hint="default"/>
      </w:rPr>
    </w:lvl>
    <w:lvl w:ilvl="8" w:tplc="A7C8356A">
      <w:start w:val="1"/>
      <w:numFmt w:val="bullet"/>
      <w:lvlText w:val=""/>
      <w:lvlJc w:val="left"/>
      <w:pPr>
        <w:ind w:left="6480" w:hanging="360"/>
      </w:pPr>
      <w:rPr>
        <w:rFonts w:ascii="Wingdings" w:hAnsi="Wingdings" w:hint="default"/>
      </w:rPr>
    </w:lvl>
  </w:abstractNum>
  <w:abstractNum w:abstractNumId="3"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AD0B24"/>
    <w:multiLevelType w:val="hybridMultilevel"/>
    <w:tmpl w:val="D548ABA8"/>
    <w:lvl w:ilvl="0" w:tplc="C37C0AD0">
      <w:start w:val="1"/>
      <w:numFmt w:val="bullet"/>
      <w:lvlText w:val="-"/>
      <w:lvlJc w:val="left"/>
      <w:pPr>
        <w:ind w:left="1070" w:hanging="360"/>
      </w:pPr>
      <w:rPr>
        <w:rFonts w:ascii="Aptos" w:hAnsi="Aptos" w:hint="default"/>
      </w:rPr>
    </w:lvl>
    <w:lvl w:ilvl="1" w:tplc="1B42131A">
      <w:start w:val="1"/>
      <w:numFmt w:val="bullet"/>
      <w:lvlText w:val="o"/>
      <w:lvlJc w:val="left"/>
      <w:pPr>
        <w:ind w:left="1790" w:hanging="360"/>
      </w:pPr>
      <w:rPr>
        <w:rFonts w:ascii="Courier New" w:hAnsi="Courier New" w:hint="default"/>
      </w:rPr>
    </w:lvl>
    <w:lvl w:ilvl="2" w:tplc="487C0912">
      <w:start w:val="1"/>
      <w:numFmt w:val="bullet"/>
      <w:lvlText w:val=""/>
      <w:lvlJc w:val="left"/>
      <w:pPr>
        <w:ind w:left="2510" w:hanging="360"/>
      </w:pPr>
      <w:rPr>
        <w:rFonts w:ascii="Wingdings" w:hAnsi="Wingdings" w:hint="default"/>
      </w:rPr>
    </w:lvl>
    <w:lvl w:ilvl="3" w:tplc="54BC1D4A">
      <w:start w:val="1"/>
      <w:numFmt w:val="bullet"/>
      <w:lvlText w:val=""/>
      <w:lvlJc w:val="left"/>
      <w:pPr>
        <w:ind w:left="3230" w:hanging="360"/>
      </w:pPr>
      <w:rPr>
        <w:rFonts w:ascii="Symbol" w:hAnsi="Symbol" w:hint="default"/>
      </w:rPr>
    </w:lvl>
    <w:lvl w:ilvl="4" w:tplc="0F545AD4">
      <w:start w:val="1"/>
      <w:numFmt w:val="bullet"/>
      <w:lvlText w:val="o"/>
      <w:lvlJc w:val="left"/>
      <w:pPr>
        <w:ind w:left="3950" w:hanging="360"/>
      </w:pPr>
      <w:rPr>
        <w:rFonts w:ascii="Courier New" w:hAnsi="Courier New" w:hint="default"/>
      </w:rPr>
    </w:lvl>
    <w:lvl w:ilvl="5" w:tplc="08CCD928">
      <w:start w:val="1"/>
      <w:numFmt w:val="bullet"/>
      <w:lvlText w:val=""/>
      <w:lvlJc w:val="left"/>
      <w:pPr>
        <w:ind w:left="4670" w:hanging="360"/>
      </w:pPr>
      <w:rPr>
        <w:rFonts w:ascii="Wingdings" w:hAnsi="Wingdings" w:hint="default"/>
      </w:rPr>
    </w:lvl>
    <w:lvl w:ilvl="6" w:tplc="4DA883BA">
      <w:start w:val="1"/>
      <w:numFmt w:val="bullet"/>
      <w:lvlText w:val=""/>
      <w:lvlJc w:val="left"/>
      <w:pPr>
        <w:ind w:left="5390" w:hanging="360"/>
      </w:pPr>
      <w:rPr>
        <w:rFonts w:ascii="Symbol" w:hAnsi="Symbol" w:hint="default"/>
      </w:rPr>
    </w:lvl>
    <w:lvl w:ilvl="7" w:tplc="F7F06124">
      <w:start w:val="1"/>
      <w:numFmt w:val="bullet"/>
      <w:lvlText w:val="o"/>
      <w:lvlJc w:val="left"/>
      <w:pPr>
        <w:ind w:left="6110" w:hanging="360"/>
      </w:pPr>
      <w:rPr>
        <w:rFonts w:ascii="Courier New" w:hAnsi="Courier New" w:hint="default"/>
      </w:rPr>
    </w:lvl>
    <w:lvl w:ilvl="8" w:tplc="3A66C950">
      <w:start w:val="1"/>
      <w:numFmt w:val="bullet"/>
      <w:lvlText w:val=""/>
      <w:lvlJc w:val="left"/>
      <w:pPr>
        <w:ind w:left="6830" w:hanging="360"/>
      </w:pPr>
      <w:rPr>
        <w:rFonts w:ascii="Wingdings" w:hAnsi="Wingdings" w:hint="default"/>
      </w:rPr>
    </w:lvl>
  </w:abstractNum>
  <w:abstractNum w:abstractNumId="7" w15:restartNumberingAfterBreak="0">
    <w:nsid w:val="1CF234E3"/>
    <w:multiLevelType w:val="hybridMultilevel"/>
    <w:tmpl w:val="4EDCBC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E8D2023"/>
    <w:multiLevelType w:val="multilevel"/>
    <w:tmpl w:val="4FA4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D1799"/>
    <w:multiLevelType w:val="hybridMultilevel"/>
    <w:tmpl w:val="2030211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893919"/>
    <w:multiLevelType w:val="hybridMultilevel"/>
    <w:tmpl w:val="6D8E65D8"/>
    <w:lvl w:ilvl="0" w:tplc="74CAC462">
      <w:start w:val="1"/>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3C510919"/>
    <w:multiLevelType w:val="hybridMultilevel"/>
    <w:tmpl w:val="9A94A74A"/>
    <w:lvl w:ilvl="0" w:tplc="33DE4078">
      <w:start w:val="1"/>
      <w:numFmt w:val="bullet"/>
      <w:lvlText w:val=""/>
      <w:lvlJc w:val="left"/>
      <w:pPr>
        <w:ind w:left="720" w:hanging="360"/>
      </w:pPr>
      <w:rPr>
        <w:rFonts w:ascii="Symbol" w:hAnsi="Symbol" w:hint="default"/>
      </w:rPr>
    </w:lvl>
    <w:lvl w:ilvl="1" w:tplc="940C2094">
      <w:start w:val="1"/>
      <w:numFmt w:val="bullet"/>
      <w:lvlText w:val="o"/>
      <w:lvlJc w:val="left"/>
      <w:pPr>
        <w:ind w:left="1440" w:hanging="360"/>
      </w:pPr>
      <w:rPr>
        <w:rFonts w:ascii="Courier New" w:hAnsi="Courier New" w:hint="default"/>
      </w:rPr>
    </w:lvl>
    <w:lvl w:ilvl="2" w:tplc="0E2AB60E">
      <w:start w:val="1"/>
      <w:numFmt w:val="bullet"/>
      <w:lvlText w:val=""/>
      <w:lvlJc w:val="left"/>
      <w:pPr>
        <w:ind w:left="2160" w:hanging="360"/>
      </w:pPr>
      <w:rPr>
        <w:rFonts w:ascii="Wingdings" w:hAnsi="Wingdings" w:hint="default"/>
      </w:rPr>
    </w:lvl>
    <w:lvl w:ilvl="3" w:tplc="E4E4B064">
      <w:start w:val="1"/>
      <w:numFmt w:val="bullet"/>
      <w:lvlText w:val=""/>
      <w:lvlJc w:val="left"/>
      <w:pPr>
        <w:ind w:left="2880" w:hanging="360"/>
      </w:pPr>
      <w:rPr>
        <w:rFonts w:ascii="Symbol" w:hAnsi="Symbol" w:hint="default"/>
      </w:rPr>
    </w:lvl>
    <w:lvl w:ilvl="4" w:tplc="8CB21A50">
      <w:start w:val="1"/>
      <w:numFmt w:val="bullet"/>
      <w:lvlText w:val="o"/>
      <w:lvlJc w:val="left"/>
      <w:pPr>
        <w:ind w:left="3600" w:hanging="360"/>
      </w:pPr>
      <w:rPr>
        <w:rFonts w:ascii="Courier New" w:hAnsi="Courier New" w:hint="default"/>
      </w:rPr>
    </w:lvl>
    <w:lvl w:ilvl="5" w:tplc="D084DE90">
      <w:start w:val="1"/>
      <w:numFmt w:val="bullet"/>
      <w:lvlText w:val=""/>
      <w:lvlJc w:val="left"/>
      <w:pPr>
        <w:ind w:left="4320" w:hanging="360"/>
      </w:pPr>
      <w:rPr>
        <w:rFonts w:ascii="Wingdings" w:hAnsi="Wingdings" w:hint="default"/>
      </w:rPr>
    </w:lvl>
    <w:lvl w:ilvl="6" w:tplc="BD6A04A8">
      <w:start w:val="1"/>
      <w:numFmt w:val="bullet"/>
      <w:lvlText w:val=""/>
      <w:lvlJc w:val="left"/>
      <w:pPr>
        <w:ind w:left="5040" w:hanging="360"/>
      </w:pPr>
      <w:rPr>
        <w:rFonts w:ascii="Symbol" w:hAnsi="Symbol" w:hint="default"/>
      </w:rPr>
    </w:lvl>
    <w:lvl w:ilvl="7" w:tplc="E6169900">
      <w:start w:val="1"/>
      <w:numFmt w:val="bullet"/>
      <w:lvlText w:val="o"/>
      <w:lvlJc w:val="left"/>
      <w:pPr>
        <w:ind w:left="5760" w:hanging="360"/>
      </w:pPr>
      <w:rPr>
        <w:rFonts w:ascii="Courier New" w:hAnsi="Courier New" w:hint="default"/>
      </w:rPr>
    </w:lvl>
    <w:lvl w:ilvl="8" w:tplc="F95CC69E">
      <w:start w:val="1"/>
      <w:numFmt w:val="bullet"/>
      <w:lvlText w:val=""/>
      <w:lvlJc w:val="left"/>
      <w:pPr>
        <w:ind w:left="6480" w:hanging="360"/>
      </w:pPr>
      <w:rPr>
        <w:rFonts w:ascii="Wingdings" w:hAnsi="Wingdings" w:hint="default"/>
      </w:rPr>
    </w:lvl>
  </w:abstractNum>
  <w:abstractNum w:abstractNumId="20"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1E91854"/>
    <w:multiLevelType w:val="hybridMultilevel"/>
    <w:tmpl w:val="72EC4522"/>
    <w:lvl w:ilvl="0" w:tplc="C392738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5"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ABA7B11"/>
    <w:multiLevelType w:val="hybridMultilevel"/>
    <w:tmpl w:val="A6301D18"/>
    <w:lvl w:ilvl="0" w:tplc="C6CE761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311056688">
    <w:abstractNumId w:val="4"/>
  </w:num>
  <w:num w:numId="2" w16cid:durableId="1209225609">
    <w:abstractNumId w:val="1"/>
  </w:num>
  <w:num w:numId="3" w16cid:durableId="2140490910">
    <w:abstractNumId w:val="13"/>
  </w:num>
  <w:num w:numId="4" w16cid:durableId="1373579874">
    <w:abstractNumId w:val="27"/>
  </w:num>
  <w:num w:numId="5" w16cid:durableId="555745601">
    <w:abstractNumId w:val="29"/>
  </w:num>
  <w:num w:numId="6" w16cid:durableId="725567586">
    <w:abstractNumId w:val="32"/>
  </w:num>
  <w:num w:numId="7" w16cid:durableId="1595630758">
    <w:abstractNumId w:val="26"/>
  </w:num>
  <w:num w:numId="8" w16cid:durableId="336469480">
    <w:abstractNumId w:val="21"/>
  </w:num>
  <w:num w:numId="9" w16cid:durableId="1980643802">
    <w:abstractNumId w:val="25"/>
  </w:num>
  <w:num w:numId="10" w16cid:durableId="2041977314">
    <w:abstractNumId w:val="22"/>
  </w:num>
  <w:num w:numId="11" w16cid:durableId="1500076154">
    <w:abstractNumId w:val="17"/>
  </w:num>
  <w:num w:numId="12" w16cid:durableId="31619943">
    <w:abstractNumId w:val="33"/>
  </w:num>
  <w:num w:numId="13" w16cid:durableId="1361781468">
    <w:abstractNumId w:val="11"/>
  </w:num>
  <w:num w:numId="14" w16cid:durableId="370031542">
    <w:abstractNumId w:val="5"/>
  </w:num>
  <w:num w:numId="15" w16cid:durableId="1071852785">
    <w:abstractNumId w:val="8"/>
  </w:num>
  <w:num w:numId="16" w16cid:durableId="542669374">
    <w:abstractNumId w:val="31"/>
  </w:num>
  <w:num w:numId="17" w16cid:durableId="886719366">
    <w:abstractNumId w:val="15"/>
  </w:num>
  <w:num w:numId="18" w16cid:durableId="633679338">
    <w:abstractNumId w:val="16"/>
  </w:num>
  <w:num w:numId="19" w16cid:durableId="1309896046">
    <w:abstractNumId w:val="28"/>
  </w:num>
  <w:num w:numId="20" w16cid:durableId="1921986476">
    <w:abstractNumId w:val="3"/>
  </w:num>
  <w:num w:numId="21" w16cid:durableId="598562130">
    <w:abstractNumId w:val="34"/>
  </w:num>
  <w:num w:numId="22" w16cid:durableId="110633945">
    <w:abstractNumId w:val="30"/>
  </w:num>
  <w:num w:numId="23" w16cid:durableId="16469997">
    <w:abstractNumId w:val="36"/>
  </w:num>
  <w:num w:numId="24" w16cid:durableId="1249655854">
    <w:abstractNumId w:val="35"/>
  </w:num>
  <w:num w:numId="25" w16cid:durableId="697197521">
    <w:abstractNumId w:val="10"/>
  </w:num>
  <w:num w:numId="26" w16cid:durableId="349528681">
    <w:abstractNumId w:val="20"/>
  </w:num>
  <w:num w:numId="27" w16cid:durableId="1934510745">
    <w:abstractNumId w:val="9"/>
  </w:num>
  <w:num w:numId="28" w16cid:durableId="506482090">
    <w:abstractNumId w:val="6"/>
  </w:num>
  <w:num w:numId="29" w16cid:durableId="1784766363">
    <w:abstractNumId w:val="14"/>
  </w:num>
  <w:num w:numId="30" w16cid:durableId="1755516188">
    <w:abstractNumId w:val="19"/>
  </w:num>
  <w:num w:numId="31" w16cid:durableId="605117834">
    <w:abstractNumId w:val="2"/>
  </w:num>
  <w:num w:numId="32" w16cid:durableId="842279420">
    <w:abstractNumId w:val="18"/>
  </w:num>
  <w:num w:numId="33" w16cid:durableId="1740636385">
    <w:abstractNumId w:val="24"/>
  </w:num>
  <w:num w:numId="34" w16cid:durableId="1147165040">
    <w:abstractNumId w:val="37"/>
  </w:num>
  <w:num w:numId="35" w16cid:durableId="1686130516">
    <w:abstractNumId w:val="7"/>
  </w:num>
  <w:num w:numId="36" w16cid:durableId="948437112">
    <w:abstractNumId w:val="12"/>
  </w:num>
  <w:num w:numId="37" w16cid:durableId="92380201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3912"/>
    <w:rsid w:val="000045F4"/>
    <w:rsid w:val="00004982"/>
    <w:rsid w:val="00007D57"/>
    <w:rsid w:val="0001007C"/>
    <w:rsid w:val="0001544B"/>
    <w:rsid w:val="0001609C"/>
    <w:rsid w:val="00016810"/>
    <w:rsid w:val="000210F9"/>
    <w:rsid w:val="00021549"/>
    <w:rsid w:val="00021E3D"/>
    <w:rsid w:val="0002329A"/>
    <w:rsid w:val="000249F4"/>
    <w:rsid w:val="00025E0A"/>
    <w:rsid w:val="00025ED4"/>
    <w:rsid w:val="0002696F"/>
    <w:rsid w:val="00027BB1"/>
    <w:rsid w:val="00030A91"/>
    <w:rsid w:val="00031455"/>
    <w:rsid w:val="00032088"/>
    <w:rsid w:val="0003263F"/>
    <w:rsid w:val="0003635E"/>
    <w:rsid w:val="00040AFC"/>
    <w:rsid w:val="00044B48"/>
    <w:rsid w:val="000508B1"/>
    <w:rsid w:val="00050974"/>
    <w:rsid w:val="00052B37"/>
    <w:rsid w:val="0005379E"/>
    <w:rsid w:val="000538A3"/>
    <w:rsid w:val="00054EDE"/>
    <w:rsid w:val="00062D25"/>
    <w:rsid w:val="00064B0C"/>
    <w:rsid w:val="000732F3"/>
    <w:rsid w:val="00073AB7"/>
    <w:rsid w:val="00077FB7"/>
    <w:rsid w:val="00081F27"/>
    <w:rsid w:val="00082584"/>
    <w:rsid w:val="00082C4A"/>
    <w:rsid w:val="00084AA2"/>
    <w:rsid w:val="00084C66"/>
    <w:rsid w:val="00084F62"/>
    <w:rsid w:val="0008644B"/>
    <w:rsid w:val="00087F54"/>
    <w:rsid w:val="00093320"/>
    <w:rsid w:val="00093E7E"/>
    <w:rsid w:val="000946B8"/>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638B"/>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0F681E"/>
    <w:rsid w:val="00100ACD"/>
    <w:rsid w:val="00103801"/>
    <w:rsid w:val="00103B26"/>
    <w:rsid w:val="00103C69"/>
    <w:rsid w:val="0010517A"/>
    <w:rsid w:val="00105BC7"/>
    <w:rsid w:val="00107255"/>
    <w:rsid w:val="00107BD4"/>
    <w:rsid w:val="00107C16"/>
    <w:rsid w:val="00107DD1"/>
    <w:rsid w:val="00111840"/>
    <w:rsid w:val="00112DDF"/>
    <w:rsid w:val="001144FF"/>
    <w:rsid w:val="00114C08"/>
    <w:rsid w:val="00117B03"/>
    <w:rsid w:val="0012328E"/>
    <w:rsid w:val="001237BA"/>
    <w:rsid w:val="00124A87"/>
    <w:rsid w:val="00125975"/>
    <w:rsid w:val="00126314"/>
    <w:rsid w:val="00127905"/>
    <w:rsid w:val="00127F4C"/>
    <w:rsid w:val="00131745"/>
    <w:rsid w:val="00131B8B"/>
    <w:rsid w:val="0013219B"/>
    <w:rsid w:val="00133B02"/>
    <w:rsid w:val="00133BA0"/>
    <w:rsid w:val="0013438F"/>
    <w:rsid w:val="00134436"/>
    <w:rsid w:val="00143265"/>
    <w:rsid w:val="00143E8C"/>
    <w:rsid w:val="00143EA3"/>
    <w:rsid w:val="00144F82"/>
    <w:rsid w:val="00146A09"/>
    <w:rsid w:val="00147573"/>
    <w:rsid w:val="001520C0"/>
    <w:rsid w:val="001533A8"/>
    <w:rsid w:val="0015487A"/>
    <w:rsid w:val="001564A5"/>
    <w:rsid w:val="00157544"/>
    <w:rsid w:val="001576EA"/>
    <w:rsid w:val="00157CF5"/>
    <w:rsid w:val="001622E7"/>
    <w:rsid w:val="001632F1"/>
    <w:rsid w:val="00163562"/>
    <w:rsid w:val="00164CFA"/>
    <w:rsid w:val="00166E71"/>
    <w:rsid w:val="001676CE"/>
    <w:rsid w:val="001700D9"/>
    <w:rsid w:val="00171A86"/>
    <w:rsid w:val="001753C8"/>
    <w:rsid w:val="00175AC8"/>
    <w:rsid w:val="0017614A"/>
    <w:rsid w:val="0018192E"/>
    <w:rsid w:val="00182B5B"/>
    <w:rsid w:val="00182EA8"/>
    <w:rsid w:val="00183480"/>
    <w:rsid w:val="00183F60"/>
    <w:rsid w:val="0018701A"/>
    <w:rsid w:val="00187BB9"/>
    <w:rsid w:val="00193D14"/>
    <w:rsid w:val="0019766B"/>
    <w:rsid w:val="001A065E"/>
    <w:rsid w:val="001A070B"/>
    <w:rsid w:val="001A0901"/>
    <w:rsid w:val="001A296E"/>
    <w:rsid w:val="001A6815"/>
    <w:rsid w:val="001B003C"/>
    <w:rsid w:val="001B06EE"/>
    <w:rsid w:val="001B0CAD"/>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29ED"/>
    <w:rsid w:val="001F3ACF"/>
    <w:rsid w:val="001F4F17"/>
    <w:rsid w:val="001F5DC2"/>
    <w:rsid w:val="001F6A84"/>
    <w:rsid w:val="00202350"/>
    <w:rsid w:val="002041FF"/>
    <w:rsid w:val="00204A82"/>
    <w:rsid w:val="00204FE3"/>
    <w:rsid w:val="00210CE8"/>
    <w:rsid w:val="002113A3"/>
    <w:rsid w:val="00211859"/>
    <w:rsid w:val="002144F0"/>
    <w:rsid w:val="0021602E"/>
    <w:rsid w:val="002174C2"/>
    <w:rsid w:val="00221748"/>
    <w:rsid w:val="002231EE"/>
    <w:rsid w:val="00224657"/>
    <w:rsid w:val="00226CF9"/>
    <w:rsid w:val="00226DB7"/>
    <w:rsid w:val="00227A49"/>
    <w:rsid w:val="002310DA"/>
    <w:rsid w:val="00233814"/>
    <w:rsid w:val="00233D26"/>
    <w:rsid w:val="002344BA"/>
    <w:rsid w:val="0023489E"/>
    <w:rsid w:val="00234AF6"/>
    <w:rsid w:val="002352A4"/>
    <w:rsid w:val="0023588E"/>
    <w:rsid w:val="00236630"/>
    <w:rsid w:val="00244614"/>
    <w:rsid w:val="00245910"/>
    <w:rsid w:val="002462AA"/>
    <w:rsid w:val="00251658"/>
    <w:rsid w:val="0025206D"/>
    <w:rsid w:val="0025239E"/>
    <w:rsid w:val="00257D49"/>
    <w:rsid w:val="00260D7B"/>
    <w:rsid w:val="0026157F"/>
    <w:rsid w:val="00262821"/>
    <w:rsid w:val="00264552"/>
    <w:rsid w:val="00264A83"/>
    <w:rsid w:val="002654D2"/>
    <w:rsid w:val="00266926"/>
    <w:rsid w:val="00267116"/>
    <w:rsid w:val="00270491"/>
    <w:rsid w:val="00272D32"/>
    <w:rsid w:val="00274438"/>
    <w:rsid w:val="00274C4B"/>
    <w:rsid w:val="00276525"/>
    <w:rsid w:val="00281792"/>
    <w:rsid w:val="00282362"/>
    <w:rsid w:val="0028389A"/>
    <w:rsid w:val="00290170"/>
    <w:rsid w:val="002911D8"/>
    <w:rsid w:val="00292158"/>
    <w:rsid w:val="00292A3F"/>
    <w:rsid w:val="002932D0"/>
    <w:rsid w:val="00293A9A"/>
    <w:rsid w:val="00293F89"/>
    <w:rsid w:val="00295645"/>
    <w:rsid w:val="00296CE0"/>
    <w:rsid w:val="00297002"/>
    <w:rsid w:val="002A061E"/>
    <w:rsid w:val="002A4557"/>
    <w:rsid w:val="002A537E"/>
    <w:rsid w:val="002A685A"/>
    <w:rsid w:val="002B0ADC"/>
    <w:rsid w:val="002B1C36"/>
    <w:rsid w:val="002B2696"/>
    <w:rsid w:val="002B2A14"/>
    <w:rsid w:val="002B3C41"/>
    <w:rsid w:val="002B4F8B"/>
    <w:rsid w:val="002B6399"/>
    <w:rsid w:val="002B715D"/>
    <w:rsid w:val="002C1D11"/>
    <w:rsid w:val="002C4D8B"/>
    <w:rsid w:val="002D1932"/>
    <w:rsid w:val="002D322D"/>
    <w:rsid w:val="002D4687"/>
    <w:rsid w:val="002D65B5"/>
    <w:rsid w:val="002D65FA"/>
    <w:rsid w:val="002D7982"/>
    <w:rsid w:val="002D7E6B"/>
    <w:rsid w:val="002E086B"/>
    <w:rsid w:val="002E264C"/>
    <w:rsid w:val="002E29E8"/>
    <w:rsid w:val="002E3A4F"/>
    <w:rsid w:val="002E3B3E"/>
    <w:rsid w:val="002E413A"/>
    <w:rsid w:val="002E77B4"/>
    <w:rsid w:val="002F2989"/>
    <w:rsid w:val="002F47DA"/>
    <w:rsid w:val="002F4A2D"/>
    <w:rsid w:val="002F54DB"/>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27D49"/>
    <w:rsid w:val="0033152D"/>
    <w:rsid w:val="00331A4E"/>
    <w:rsid w:val="00331F55"/>
    <w:rsid w:val="0033293A"/>
    <w:rsid w:val="0033367C"/>
    <w:rsid w:val="00336A40"/>
    <w:rsid w:val="003377A9"/>
    <w:rsid w:val="003405A0"/>
    <w:rsid w:val="003421E9"/>
    <w:rsid w:val="0034250A"/>
    <w:rsid w:val="003428EC"/>
    <w:rsid w:val="0034299E"/>
    <w:rsid w:val="00344AE4"/>
    <w:rsid w:val="00344C51"/>
    <w:rsid w:val="00345290"/>
    <w:rsid w:val="00345379"/>
    <w:rsid w:val="00345ABF"/>
    <w:rsid w:val="00345B24"/>
    <w:rsid w:val="00347862"/>
    <w:rsid w:val="00347A20"/>
    <w:rsid w:val="003503D1"/>
    <w:rsid w:val="003531E2"/>
    <w:rsid w:val="00354C72"/>
    <w:rsid w:val="00355236"/>
    <w:rsid w:val="00360927"/>
    <w:rsid w:val="003615FF"/>
    <w:rsid w:val="00365375"/>
    <w:rsid w:val="00365B12"/>
    <w:rsid w:val="00365C0C"/>
    <w:rsid w:val="00370574"/>
    <w:rsid w:val="00370791"/>
    <w:rsid w:val="00370B5F"/>
    <w:rsid w:val="00370E6C"/>
    <w:rsid w:val="00372412"/>
    <w:rsid w:val="0037488D"/>
    <w:rsid w:val="00375F75"/>
    <w:rsid w:val="003764E5"/>
    <w:rsid w:val="00376A08"/>
    <w:rsid w:val="00380CB7"/>
    <w:rsid w:val="003810A3"/>
    <w:rsid w:val="00381D01"/>
    <w:rsid w:val="00382BBF"/>
    <w:rsid w:val="00382E88"/>
    <w:rsid w:val="0038419C"/>
    <w:rsid w:val="003848DA"/>
    <w:rsid w:val="00385239"/>
    <w:rsid w:val="003854D6"/>
    <w:rsid w:val="003869BE"/>
    <w:rsid w:val="00386E13"/>
    <w:rsid w:val="00394B0A"/>
    <w:rsid w:val="0039580B"/>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6A08"/>
    <w:rsid w:val="003B744B"/>
    <w:rsid w:val="003C1135"/>
    <w:rsid w:val="003D0E2E"/>
    <w:rsid w:val="003D1C17"/>
    <w:rsid w:val="003D2935"/>
    <w:rsid w:val="003D2BDC"/>
    <w:rsid w:val="003D3900"/>
    <w:rsid w:val="003D4B0B"/>
    <w:rsid w:val="003D54B3"/>
    <w:rsid w:val="003D74A0"/>
    <w:rsid w:val="003E03A5"/>
    <w:rsid w:val="003E0FB2"/>
    <w:rsid w:val="003E1107"/>
    <w:rsid w:val="003E1495"/>
    <w:rsid w:val="003E2898"/>
    <w:rsid w:val="003E36F4"/>
    <w:rsid w:val="003E5269"/>
    <w:rsid w:val="003E5373"/>
    <w:rsid w:val="003E6309"/>
    <w:rsid w:val="003E6C8C"/>
    <w:rsid w:val="003E768D"/>
    <w:rsid w:val="003F00FB"/>
    <w:rsid w:val="003F0522"/>
    <w:rsid w:val="003F0539"/>
    <w:rsid w:val="003F20BE"/>
    <w:rsid w:val="003F4715"/>
    <w:rsid w:val="003F5B73"/>
    <w:rsid w:val="003F5F50"/>
    <w:rsid w:val="003F5FA5"/>
    <w:rsid w:val="003F5FB6"/>
    <w:rsid w:val="003F6114"/>
    <w:rsid w:val="003F7642"/>
    <w:rsid w:val="0040132F"/>
    <w:rsid w:val="00401753"/>
    <w:rsid w:val="004034C4"/>
    <w:rsid w:val="00405840"/>
    <w:rsid w:val="00407051"/>
    <w:rsid w:val="00407D9A"/>
    <w:rsid w:val="0041414C"/>
    <w:rsid w:val="00415FCD"/>
    <w:rsid w:val="004171D2"/>
    <w:rsid w:val="004201EE"/>
    <w:rsid w:val="00424868"/>
    <w:rsid w:val="004262E7"/>
    <w:rsid w:val="00426AAE"/>
    <w:rsid w:val="0042787A"/>
    <w:rsid w:val="00431021"/>
    <w:rsid w:val="00431B23"/>
    <w:rsid w:val="004344A3"/>
    <w:rsid w:val="004365F3"/>
    <w:rsid w:val="00437323"/>
    <w:rsid w:val="00437541"/>
    <w:rsid w:val="00437D51"/>
    <w:rsid w:val="004501F2"/>
    <w:rsid w:val="004521CA"/>
    <w:rsid w:val="00456E5A"/>
    <w:rsid w:val="0046488C"/>
    <w:rsid w:val="00465079"/>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6310"/>
    <w:rsid w:val="00497CD9"/>
    <w:rsid w:val="004A0CFF"/>
    <w:rsid w:val="004A2C01"/>
    <w:rsid w:val="004A4E2E"/>
    <w:rsid w:val="004A5528"/>
    <w:rsid w:val="004A6AD7"/>
    <w:rsid w:val="004A7BFF"/>
    <w:rsid w:val="004B0808"/>
    <w:rsid w:val="004B3EA1"/>
    <w:rsid w:val="004B6A3A"/>
    <w:rsid w:val="004C026C"/>
    <w:rsid w:val="004C0310"/>
    <w:rsid w:val="004C2787"/>
    <w:rsid w:val="004C614C"/>
    <w:rsid w:val="004D12AF"/>
    <w:rsid w:val="004D15E6"/>
    <w:rsid w:val="004D3D53"/>
    <w:rsid w:val="004D77C7"/>
    <w:rsid w:val="004E374B"/>
    <w:rsid w:val="004E3E26"/>
    <w:rsid w:val="004E4B40"/>
    <w:rsid w:val="004E57A0"/>
    <w:rsid w:val="004E6062"/>
    <w:rsid w:val="004E6887"/>
    <w:rsid w:val="004E7B60"/>
    <w:rsid w:val="004E7D16"/>
    <w:rsid w:val="004F083E"/>
    <w:rsid w:val="004F2876"/>
    <w:rsid w:val="004F3F20"/>
    <w:rsid w:val="004F6A23"/>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2638"/>
    <w:rsid w:val="005335D7"/>
    <w:rsid w:val="00533926"/>
    <w:rsid w:val="00534905"/>
    <w:rsid w:val="00534B82"/>
    <w:rsid w:val="00535327"/>
    <w:rsid w:val="005371AD"/>
    <w:rsid w:val="005409DD"/>
    <w:rsid w:val="00541B5D"/>
    <w:rsid w:val="005421AB"/>
    <w:rsid w:val="005423D4"/>
    <w:rsid w:val="005428ED"/>
    <w:rsid w:val="005432D6"/>
    <w:rsid w:val="00543F4F"/>
    <w:rsid w:val="00544151"/>
    <w:rsid w:val="00544648"/>
    <w:rsid w:val="00544F05"/>
    <w:rsid w:val="00545BF1"/>
    <w:rsid w:val="00545FFD"/>
    <w:rsid w:val="0054695E"/>
    <w:rsid w:val="005515A5"/>
    <w:rsid w:val="0055168C"/>
    <w:rsid w:val="00553EF0"/>
    <w:rsid w:val="00556428"/>
    <w:rsid w:val="00556C6B"/>
    <w:rsid w:val="00557A29"/>
    <w:rsid w:val="00557AB4"/>
    <w:rsid w:val="005622AE"/>
    <w:rsid w:val="005629B6"/>
    <w:rsid w:val="00563442"/>
    <w:rsid w:val="0056345E"/>
    <w:rsid w:val="00564515"/>
    <w:rsid w:val="00565446"/>
    <w:rsid w:val="005654F4"/>
    <w:rsid w:val="005658C8"/>
    <w:rsid w:val="005668F1"/>
    <w:rsid w:val="00570092"/>
    <w:rsid w:val="00571608"/>
    <w:rsid w:val="005740B8"/>
    <w:rsid w:val="0057722D"/>
    <w:rsid w:val="00577961"/>
    <w:rsid w:val="0058200F"/>
    <w:rsid w:val="00585B94"/>
    <w:rsid w:val="00587617"/>
    <w:rsid w:val="0058795C"/>
    <w:rsid w:val="005912AE"/>
    <w:rsid w:val="0059286B"/>
    <w:rsid w:val="00593049"/>
    <w:rsid w:val="0059440E"/>
    <w:rsid w:val="00594518"/>
    <w:rsid w:val="00595AEF"/>
    <w:rsid w:val="005A2F73"/>
    <w:rsid w:val="005A36D1"/>
    <w:rsid w:val="005A5EA1"/>
    <w:rsid w:val="005A5F8A"/>
    <w:rsid w:val="005A67E2"/>
    <w:rsid w:val="005B147F"/>
    <w:rsid w:val="005B2451"/>
    <w:rsid w:val="005B4A43"/>
    <w:rsid w:val="005B4D92"/>
    <w:rsid w:val="005B6FDA"/>
    <w:rsid w:val="005C2D5B"/>
    <w:rsid w:val="005C31C2"/>
    <w:rsid w:val="005C33EB"/>
    <w:rsid w:val="005C42A0"/>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1839"/>
    <w:rsid w:val="005F4406"/>
    <w:rsid w:val="005F61DA"/>
    <w:rsid w:val="00604420"/>
    <w:rsid w:val="00605C06"/>
    <w:rsid w:val="00606075"/>
    <w:rsid w:val="006077CE"/>
    <w:rsid w:val="0061250E"/>
    <w:rsid w:val="00612B0A"/>
    <w:rsid w:val="00613AA9"/>
    <w:rsid w:val="00614161"/>
    <w:rsid w:val="00614E7A"/>
    <w:rsid w:val="00620844"/>
    <w:rsid w:val="0062122D"/>
    <w:rsid w:val="006218F7"/>
    <w:rsid w:val="006219D7"/>
    <w:rsid w:val="0062208D"/>
    <w:rsid w:val="00622A34"/>
    <w:rsid w:val="00623052"/>
    <w:rsid w:val="00623172"/>
    <w:rsid w:val="0062405B"/>
    <w:rsid w:val="00626BDF"/>
    <w:rsid w:val="00626D2C"/>
    <w:rsid w:val="00627058"/>
    <w:rsid w:val="00631D9F"/>
    <w:rsid w:val="006346C0"/>
    <w:rsid w:val="00634C15"/>
    <w:rsid w:val="0063536D"/>
    <w:rsid w:val="0063537D"/>
    <w:rsid w:val="0063702C"/>
    <w:rsid w:val="006372E6"/>
    <w:rsid w:val="006401B2"/>
    <w:rsid w:val="006405E6"/>
    <w:rsid w:val="00643C64"/>
    <w:rsid w:val="006452FE"/>
    <w:rsid w:val="00646BAA"/>
    <w:rsid w:val="006506FD"/>
    <w:rsid w:val="006507BF"/>
    <w:rsid w:val="00650EF0"/>
    <w:rsid w:val="006543F5"/>
    <w:rsid w:val="00655A92"/>
    <w:rsid w:val="00656E1B"/>
    <w:rsid w:val="0065714E"/>
    <w:rsid w:val="00660B36"/>
    <w:rsid w:val="00660EA5"/>
    <w:rsid w:val="006628A5"/>
    <w:rsid w:val="0067076B"/>
    <w:rsid w:val="00677FF7"/>
    <w:rsid w:val="006827AF"/>
    <w:rsid w:val="0068315F"/>
    <w:rsid w:val="00684369"/>
    <w:rsid w:val="0068476B"/>
    <w:rsid w:val="00684BE6"/>
    <w:rsid w:val="006876AF"/>
    <w:rsid w:val="006908B5"/>
    <w:rsid w:val="0069223B"/>
    <w:rsid w:val="00693158"/>
    <w:rsid w:val="0069375E"/>
    <w:rsid w:val="0069387D"/>
    <w:rsid w:val="00694C96"/>
    <w:rsid w:val="00695831"/>
    <w:rsid w:val="00695BC1"/>
    <w:rsid w:val="00695C69"/>
    <w:rsid w:val="006A31AD"/>
    <w:rsid w:val="006A32B0"/>
    <w:rsid w:val="006A3AF2"/>
    <w:rsid w:val="006A40B5"/>
    <w:rsid w:val="006A70C8"/>
    <w:rsid w:val="006B004E"/>
    <w:rsid w:val="006B1FE2"/>
    <w:rsid w:val="006B2319"/>
    <w:rsid w:val="006C22B8"/>
    <w:rsid w:val="006C41C6"/>
    <w:rsid w:val="006C5B71"/>
    <w:rsid w:val="006C7714"/>
    <w:rsid w:val="006D05EF"/>
    <w:rsid w:val="006D1224"/>
    <w:rsid w:val="006D14EE"/>
    <w:rsid w:val="006D2CFD"/>
    <w:rsid w:val="006D7227"/>
    <w:rsid w:val="006E2DC6"/>
    <w:rsid w:val="006E55DD"/>
    <w:rsid w:val="006E7BF0"/>
    <w:rsid w:val="006F07C6"/>
    <w:rsid w:val="006F0C6A"/>
    <w:rsid w:val="006F46D4"/>
    <w:rsid w:val="006F482D"/>
    <w:rsid w:val="006F48A8"/>
    <w:rsid w:val="006F670C"/>
    <w:rsid w:val="0070000F"/>
    <w:rsid w:val="007001F1"/>
    <w:rsid w:val="00700CFE"/>
    <w:rsid w:val="00701577"/>
    <w:rsid w:val="00705999"/>
    <w:rsid w:val="007068B0"/>
    <w:rsid w:val="00707C68"/>
    <w:rsid w:val="00710153"/>
    <w:rsid w:val="0071131D"/>
    <w:rsid w:val="0071419A"/>
    <w:rsid w:val="007164C2"/>
    <w:rsid w:val="0071706E"/>
    <w:rsid w:val="00720923"/>
    <w:rsid w:val="00720A7E"/>
    <w:rsid w:val="00720D3B"/>
    <w:rsid w:val="007238CE"/>
    <w:rsid w:val="00726B48"/>
    <w:rsid w:val="00726F42"/>
    <w:rsid w:val="0072780B"/>
    <w:rsid w:val="00727FEC"/>
    <w:rsid w:val="00730478"/>
    <w:rsid w:val="007315BF"/>
    <w:rsid w:val="00731607"/>
    <w:rsid w:val="007325F2"/>
    <w:rsid w:val="00732700"/>
    <w:rsid w:val="00735590"/>
    <w:rsid w:val="00735B40"/>
    <w:rsid w:val="00735D22"/>
    <w:rsid w:val="00737698"/>
    <w:rsid w:val="00740F24"/>
    <w:rsid w:val="00744247"/>
    <w:rsid w:val="007445FA"/>
    <w:rsid w:val="00745B7B"/>
    <w:rsid w:val="00747015"/>
    <w:rsid w:val="007479D2"/>
    <w:rsid w:val="00750EE5"/>
    <w:rsid w:val="007525CF"/>
    <w:rsid w:val="00752AFD"/>
    <w:rsid w:val="007530BA"/>
    <w:rsid w:val="007545FF"/>
    <w:rsid w:val="007552D8"/>
    <w:rsid w:val="0075615F"/>
    <w:rsid w:val="00756CEC"/>
    <w:rsid w:val="00761F71"/>
    <w:rsid w:val="00762436"/>
    <w:rsid w:val="007654D9"/>
    <w:rsid w:val="00765525"/>
    <w:rsid w:val="0076725A"/>
    <w:rsid w:val="007674AA"/>
    <w:rsid w:val="007676CD"/>
    <w:rsid w:val="00771F43"/>
    <w:rsid w:val="007754AE"/>
    <w:rsid w:val="00776430"/>
    <w:rsid w:val="00776661"/>
    <w:rsid w:val="0077695E"/>
    <w:rsid w:val="00777C00"/>
    <w:rsid w:val="0078500B"/>
    <w:rsid w:val="0079464B"/>
    <w:rsid w:val="00796129"/>
    <w:rsid w:val="0079687D"/>
    <w:rsid w:val="007970A2"/>
    <w:rsid w:val="007A1CB4"/>
    <w:rsid w:val="007A7DC2"/>
    <w:rsid w:val="007B29F9"/>
    <w:rsid w:val="007C1E85"/>
    <w:rsid w:val="007C4F94"/>
    <w:rsid w:val="007C501A"/>
    <w:rsid w:val="007C6856"/>
    <w:rsid w:val="007C79D7"/>
    <w:rsid w:val="007D1677"/>
    <w:rsid w:val="007D260E"/>
    <w:rsid w:val="007D2DB9"/>
    <w:rsid w:val="007D4479"/>
    <w:rsid w:val="007D4DC6"/>
    <w:rsid w:val="007E0BA4"/>
    <w:rsid w:val="007E1300"/>
    <w:rsid w:val="007E57BE"/>
    <w:rsid w:val="007E5963"/>
    <w:rsid w:val="007E714A"/>
    <w:rsid w:val="007F2B4D"/>
    <w:rsid w:val="007F4FAA"/>
    <w:rsid w:val="007F5E9B"/>
    <w:rsid w:val="00801A05"/>
    <w:rsid w:val="00802C1E"/>
    <w:rsid w:val="00803765"/>
    <w:rsid w:val="00804920"/>
    <w:rsid w:val="008052AD"/>
    <w:rsid w:val="00805369"/>
    <w:rsid w:val="00807E89"/>
    <w:rsid w:val="00812C23"/>
    <w:rsid w:val="00815104"/>
    <w:rsid w:val="0081680F"/>
    <w:rsid w:val="0081697C"/>
    <w:rsid w:val="00816B70"/>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0AF"/>
    <w:rsid w:val="00860B6F"/>
    <w:rsid w:val="00860E5D"/>
    <w:rsid w:val="00862F06"/>
    <w:rsid w:val="00863867"/>
    <w:rsid w:val="0086519E"/>
    <w:rsid w:val="0086658F"/>
    <w:rsid w:val="00870049"/>
    <w:rsid w:val="00870DA1"/>
    <w:rsid w:val="0087128F"/>
    <w:rsid w:val="00875E2E"/>
    <w:rsid w:val="00876108"/>
    <w:rsid w:val="00876D29"/>
    <w:rsid w:val="00877FC4"/>
    <w:rsid w:val="008810A2"/>
    <w:rsid w:val="008838DD"/>
    <w:rsid w:val="00887059"/>
    <w:rsid w:val="00891401"/>
    <w:rsid w:val="008920EF"/>
    <w:rsid w:val="008971CE"/>
    <w:rsid w:val="008A1D0A"/>
    <w:rsid w:val="008A2C73"/>
    <w:rsid w:val="008A43A0"/>
    <w:rsid w:val="008A7FFD"/>
    <w:rsid w:val="008B0F0B"/>
    <w:rsid w:val="008B1875"/>
    <w:rsid w:val="008B1CFA"/>
    <w:rsid w:val="008B1F49"/>
    <w:rsid w:val="008B23EF"/>
    <w:rsid w:val="008B3EAA"/>
    <w:rsid w:val="008B43B4"/>
    <w:rsid w:val="008B51EB"/>
    <w:rsid w:val="008B5EAF"/>
    <w:rsid w:val="008B5EF5"/>
    <w:rsid w:val="008B6181"/>
    <w:rsid w:val="008C0EEE"/>
    <w:rsid w:val="008C2208"/>
    <w:rsid w:val="008C293C"/>
    <w:rsid w:val="008C3898"/>
    <w:rsid w:val="008C4FBD"/>
    <w:rsid w:val="008C745B"/>
    <w:rsid w:val="008C783A"/>
    <w:rsid w:val="008C7C5E"/>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5A96"/>
    <w:rsid w:val="008F7577"/>
    <w:rsid w:val="008F79AF"/>
    <w:rsid w:val="00900365"/>
    <w:rsid w:val="00901658"/>
    <w:rsid w:val="00904A10"/>
    <w:rsid w:val="00907DE8"/>
    <w:rsid w:val="00907FC6"/>
    <w:rsid w:val="009103ED"/>
    <w:rsid w:val="00912F65"/>
    <w:rsid w:val="00913234"/>
    <w:rsid w:val="00916673"/>
    <w:rsid w:val="00916BFB"/>
    <w:rsid w:val="009209E4"/>
    <w:rsid w:val="00921787"/>
    <w:rsid w:val="009227E1"/>
    <w:rsid w:val="00927320"/>
    <w:rsid w:val="00933A94"/>
    <w:rsid w:val="00934B94"/>
    <w:rsid w:val="00935955"/>
    <w:rsid w:val="00937440"/>
    <w:rsid w:val="00937CCC"/>
    <w:rsid w:val="0094156E"/>
    <w:rsid w:val="00943FB6"/>
    <w:rsid w:val="00944696"/>
    <w:rsid w:val="00944A00"/>
    <w:rsid w:val="00945239"/>
    <w:rsid w:val="00945F7F"/>
    <w:rsid w:val="009470DF"/>
    <w:rsid w:val="00947CCF"/>
    <w:rsid w:val="00951705"/>
    <w:rsid w:val="00954316"/>
    <w:rsid w:val="00954E8C"/>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4FE4"/>
    <w:rsid w:val="009856D2"/>
    <w:rsid w:val="0099052F"/>
    <w:rsid w:val="00991FD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5BD0"/>
    <w:rsid w:val="009A681F"/>
    <w:rsid w:val="009A7F9B"/>
    <w:rsid w:val="009B009F"/>
    <w:rsid w:val="009B046D"/>
    <w:rsid w:val="009B1FAA"/>
    <w:rsid w:val="009B3ACE"/>
    <w:rsid w:val="009C07FC"/>
    <w:rsid w:val="009C1BC8"/>
    <w:rsid w:val="009C2F7F"/>
    <w:rsid w:val="009C3122"/>
    <w:rsid w:val="009C389A"/>
    <w:rsid w:val="009C3D48"/>
    <w:rsid w:val="009C6970"/>
    <w:rsid w:val="009D1787"/>
    <w:rsid w:val="009D4140"/>
    <w:rsid w:val="009E0868"/>
    <w:rsid w:val="009E16A6"/>
    <w:rsid w:val="009E1EAE"/>
    <w:rsid w:val="009E37BB"/>
    <w:rsid w:val="009E66A0"/>
    <w:rsid w:val="009E6AC7"/>
    <w:rsid w:val="009F1FAA"/>
    <w:rsid w:val="009F2507"/>
    <w:rsid w:val="009F6928"/>
    <w:rsid w:val="009F76B8"/>
    <w:rsid w:val="00A038BD"/>
    <w:rsid w:val="00A07B0B"/>
    <w:rsid w:val="00A116E6"/>
    <w:rsid w:val="00A12DE6"/>
    <w:rsid w:val="00A12FA9"/>
    <w:rsid w:val="00A13694"/>
    <w:rsid w:val="00A160F6"/>
    <w:rsid w:val="00A21241"/>
    <w:rsid w:val="00A217DD"/>
    <w:rsid w:val="00A217DF"/>
    <w:rsid w:val="00A226D7"/>
    <w:rsid w:val="00A22DA4"/>
    <w:rsid w:val="00A2336D"/>
    <w:rsid w:val="00A24497"/>
    <w:rsid w:val="00A247C6"/>
    <w:rsid w:val="00A25978"/>
    <w:rsid w:val="00A30BC3"/>
    <w:rsid w:val="00A31613"/>
    <w:rsid w:val="00A3721F"/>
    <w:rsid w:val="00A37570"/>
    <w:rsid w:val="00A40190"/>
    <w:rsid w:val="00A474B7"/>
    <w:rsid w:val="00A476ED"/>
    <w:rsid w:val="00A50B45"/>
    <w:rsid w:val="00A514CD"/>
    <w:rsid w:val="00A526B6"/>
    <w:rsid w:val="00A52A59"/>
    <w:rsid w:val="00A543D0"/>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48C7"/>
    <w:rsid w:val="00A752EC"/>
    <w:rsid w:val="00A75FDD"/>
    <w:rsid w:val="00A80599"/>
    <w:rsid w:val="00A830FA"/>
    <w:rsid w:val="00A85032"/>
    <w:rsid w:val="00A86167"/>
    <w:rsid w:val="00A8646F"/>
    <w:rsid w:val="00A90668"/>
    <w:rsid w:val="00A909E1"/>
    <w:rsid w:val="00A92A9D"/>
    <w:rsid w:val="00A96F84"/>
    <w:rsid w:val="00AA00B6"/>
    <w:rsid w:val="00AA1421"/>
    <w:rsid w:val="00AA5DA2"/>
    <w:rsid w:val="00AA647B"/>
    <w:rsid w:val="00AA7CC9"/>
    <w:rsid w:val="00AB225E"/>
    <w:rsid w:val="00AB321F"/>
    <w:rsid w:val="00AB48B7"/>
    <w:rsid w:val="00AB5249"/>
    <w:rsid w:val="00AB6214"/>
    <w:rsid w:val="00AB7C32"/>
    <w:rsid w:val="00AC1603"/>
    <w:rsid w:val="00AC18AC"/>
    <w:rsid w:val="00AC3441"/>
    <w:rsid w:val="00AC5095"/>
    <w:rsid w:val="00AD0ED0"/>
    <w:rsid w:val="00AD29D5"/>
    <w:rsid w:val="00AD3B5F"/>
    <w:rsid w:val="00AD44EA"/>
    <w:rsid w:val="00AD4E31"/>
    <w:rsid w:val="00AD6D3B"/>
    <w:rsid w:val="00AD7DCC"/>
    <w:rsid w:val="00AE0121"/>
    <w:rsid w:val="00AE0459"/>
    <w:rsid w:val="00AE1395"/>
    <w:rsid w:val="00AE2E54"/>
    <w:rsid w:val="00AE30AE"/>
    <w:rsid w:val="00AE62A5"/>
    <w:rsid w:val="00AE7E9D"/>
    <w:rsid w:val="00AF0633"/>
    <w:rsid w:val="00AF1AA9"/>
    <w:rsid w:val="00AF423A"/>
    <w:rsid w:val="00AF4D9F"/>
    <w:rsid w:val="00AF4EC3"/>
    <w:rsid w:val="00AF55C9"/>
    <w:rsid w:val="00AF6F15"/>
    <w:rsid w:val="00AF72DB"/>
    <w:rsid w:val="00B011D6"/>
    <w:rsid w:val="00B0201A"/>
    <w:rsid w:val="00B02434"/>
    <w:rsid w:val="00B025ED"/>
    <w:rsid w:val="00B0305A"/>
    <w:rsid w:val="00B03533"/>
    <w:rsid w:val="00B04FE0"/>
    <w:rsid w:val="00B05A2A"/>
    <w:rsid w:val="00B06396"/>
    <w:rsid w:val="00B0762A"/>
    <w:rsid w:val="00B11D8B"/>
    <w:rsid w:val="00B12EC7"/>
    <w:rsid w:val="00B1350E"/>
    <w:rsid w:val="00B14636"/>
    <w:rsid w:val="00B14ABB"/>
    <w:rsid w:val="00B16BB6"/>
    <w:rsid w:val="00B16D69"/>
    <w:rsid w:val="00B207B4"/>
    <w:rsid w:val="00B209D5"/>
    <w:rsid w:val="00B2327F"/>
    <w:rsid w:val="00B238C9"/>
    <w:rsid w:val="00B245C9"/>
    <w:rsid w:val="00B257B6"/>
    <w:rsid w:val="00B25C9F"/>
    <w:rsid w:val="00B25D5F"/>
    <w:rsid w:val="00B2681F"/>
    <w:rsid w:val="00B268F3"/>
    <w:rsid w:val="00B27130"/>
    <w:rsid w:val="00B27389"/>
    <w:rsid w:val="00B27391"/>
    <w:rsid w:val="00B30170"/>
    <w:rsid w:val="00B30707"/>
    <w:rsid w:val="00B31D8A"/>
    <w:rsid w:val="00B33831"/>
    <w:rsid w:val="00B33994"/>
    <w:rsid w:val="00B356DB"/>
    <w:rsid w:val="00B36636"/>
    <w:rsid w:val="00B4102F"/>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972"/>
    <w:rsid w:val="00B54AF6"/>
    <w:rsid w:val="00B6004E"/>
    <w:rsid w:val="00B65017"/>
    <w:rsid w:val="00B6674B"/>
    <w:rsid w:val="00B66F65"/>
    <w:rsid w:val="00B670E1"/>
    <w:rsid w:val="00B670ED"/>
    <w:rsid w:val="00B6755B"/>
    <w:rsid w:val="00B67735"/>
    <w:rsid w:val="00B678B2"/>
    <w:rsid w:val="00B67A1B"/>
    <w:rsid w:val="00B7051D"/>
    <w:rsid w:val="00B706A2"/>
    <w:rsid w:val="00B71867"/>
    <w:rsid w:val="00B75996"/>
    <w:rsid w:val="00B76226"/>
    <w:rsid w:val="00B76F31"/>
    <w:rsid w:val="00B8294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15ED"/>
    <w:rsid w:val="00BB1DA8"/>
    <w:rsid w:val="00BB2512"/>
    <w:rsid w:val="00BB27E9"/>
    <w:rsid w:val="00BB4FFD"/>
    <w:rsid w:val="00BB5C47"/>
    <w:rsid w:val="00BB6112"/>
    <w:rsid w:val="00BB6B81"/>
    <w:rsid w:val="00BB7CC4"/>
    <w:rsid w:val="00BB7FB4"/>
    <w:rsid w:val="00BC0C2C"/>
    <w:rsid w:val="00BC0E85"/>
    <w:rsid w:val="00BC13F3"/>
    <w:rsid w:val="00BC7172"/>
    <w:rsid w:val="00BD0AE0"/>
    <w:rsid w:val="00BD0B5E"/>
    <w:rsid w:val="00BD4A0A"/>
    <w:rsid w:val="00BD5101"/>
    <w:rsid w:val="00BD5468"/>
    <w:rsid w:val="00BD6500"/>
    <w:rsid w:val="00BE0355"/>
    <w:rsid w:val="00BE163D"/>
    <w:rsid w:val="00BE1A6F"/>
    <w:rsid w:val="00BE360A"/>
    <w:rsid w:val="00BE3769"/>
    <w:rsid w:val="00BE37BB"/>
    <w:rsid w:val="00BE6452"/>
    <w:rsid w:val="00BE68EC"/>
    <w:rsid w:val="00BF2CA9"/>
    <w:rsid w:val="00BF2F32"/>
    <w:rsid w:val="00BF3BBE"/>
    <w:rsid w:val="00BF3E66"/>
    <w:rsid w:val="00BF418F"/>
    <w:rsid w:val="00BF5956"/>
    <w:rsid w:val="00BF5B4A"/>
    <w:rsid w:val="00BF5E47"/>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F20"/>
    <w:rsid w:val="00C210BB"/>
    <w:rsid w:val="00C212B9"/>
    <w:rsid w:val="00C23604"/>
    <w:rsid w:val="00C24D64"/>
    <w:rsid w:val="00C2564E"/>
    <w:rsid w:val="00C3043F"/>
    <w:rsid w:val="00C31377"/>
    <w:rsid w:val="00C3211C"/>
    <w:rsid w:val="00C33BE8"/>
    <w:rsid w:val="00C33DF7"/>
    <w:rsid w:val="00C35487"/>
    <w:rsid w:val="00C36C5D"/>
    <w:rsid w:val="00C40BA0"/>
    <w:rsid w:val="00C431A8"/>
    <w:rsid w:val="00C45A23"/>
    <w:rsid w:val="00C4609D"/>
    <w:rsid w:val="00C46313"/>
    <w:rsid w:val="00C4683A"/>
    <w:rsid w:val="00C526C6"/>
    <w:rsid w:val="00C52E14"/>
    <w:rsid w:val="00C5511A"/>
    <w:rsid w:val="00C55B2D"/>
    <w:rsid w:val="00C576E9"/>
    <w:rsid w:val="00C57E7B"/>
    <w:rsid w:val="00C57FC3"/>
    <w:rsid w:val="00C62565"/>
    <w:rsid w:val="00C67AC8"/>
    <w:rsid w:val="00C67C6D"/>
    <w:rsid w:val="00C716B6"/>
    <w:rsid w:val="00C72D2A"/>
    <w:rsid w:val="00C76645"/>
    <w:rsid w:val="00C7674A"/>
    <w:rsid w:val="00C774DD"/>
    <w:rsid w:val="00C77A27"/>
    <w:rsid w:val="00C77B64"/>
    <w:rsid w:val="00C80B9D"/>
    <w:rsid w:val="00C80DBB"/>
    <w:rsid w:val="00C81543"/>
    <w:rsid w:val="00C822E2"/>
    <w:rsid w:val="00C85EA9"/>
    <w:rsid w:val="00C877BB"/>
    <w:rsid w:val="00C879A4"/>
    <w:rsid w:val="00C87BE2"/>
    <w:rsid w:val="00C87DF8"/>
    <w:rsid w:val="00C93350"/>
    <w:rsid w:val="00C9414F"/>
    <w:rsid w:val="00C97732"/>
    <w:rsid w:val="00CA3A4B"/>
    <w:rsid w:val="00CA5352"/>
    <w:rsid w:val="00CA7125"/>
    <w:rsid w:val="00CB0EC3"/>
    <w:rsid w:val="00CB107F"/>
    <w:rsid w:val="00CB138E"/>
    <w:rsid w:val="00CB198B"/>
    <w:rsid w:val="00CB1E24"/>
    <w:rsid w:val="00CC00CC"/>
    <w:rsid w:val="00CC109A"/>
    <w:rsid w:val="00CC176E"/>
    <w:rsid w:val="00CC3824"/>
    <w:rsid w:val="00CC3A25"/>
    <w:rsid w:val="00CC3B22"/>
    <w:rsid w:val="00CC3C4F"/>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3F5"/>
    <w:rsid w:val="00D03AB0"/>
    <w:rsid w:val="00D03BC9"/>
    <w:rsid w:val="00D045AC"/>
    <w:rsid w:val="00D0502A"/>
    <w:rsid w:val="00D0571D"/>
    <w:rsid w:val="00D05F9B"/>
    <w:rsid w:val="00D06FE1"/>
    <w:rsid w:val="00D0787D"/>
    <w:rsid w:val="00D078F1"/>
    <w:rsid w:val="00D07D87"/>
    <w:rsid w:val="00D10CDB"/>
    <w:rsid w:val="00D10EC7"/>
    <w:rsid w:val="00D12931"/>
    <w:rsid w:val="00D12F01"/>
    <w:rsid w:val="00D134BD"/>
    <w:rsid w:val="00D14354"/>
    <w:rsid w:val="00D145C8"/>
    <w:rsid w:val="00D162F9"/>
    <w:rsid w:val="00D17F95"/>
    <w:rsid w:val="00D2108A"/>
    <w:rsid w:val="00D22EAB"/>
    <w:rsid w:val="00D253CA"/>
    <w:rsid w:val="00D25F77"/>
    <w:rsid w:val="00D25FCF"/>
    <w:rsid w:val="00D274F1"/>
    <w:rsid w:val="00D324F1"/>
    <w:rsid w:val="00D359A8"/>
    <w:rsid w:val="00D35EBD"/>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2E"/>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4B3D"/>
    <w:rsid w:val="00D7523D"/>
    <w:rsid w:val="00D7592C"/>
    <w:rsid w:val="00D80785"/>
    <w:rsid w:val="00D819E3"/>
    <w:rsid w:val="00D85774"/>
    <w:rsid w:val="00D85CEB"/>
    <w:rsid w:val="00D85EFB"/>
    <w:rsid w:val="00D9088D"/>
    <w:rsid w:val="00D90EC8"/>
    <w:rsid w:val="00D91D61"/>
    <w:rsid w:val="00D93712"/>
    <w:rsid w:val="00D9377A"/>
    <w:rsid w:val="00D95A0C"/>
    <w:rsid w:val="00DA135B"/>
    <w:rsid w:val="00DA2072"/>
    <w:rsid w:val="00DA29C9"/>
    <w:rsid w:val="00DA338D"/>
    <w:rsid w:val="00DB26AB"/>
    <w:rsid w:val="00DB3970"/>
    <w:rsid w:val="00DB431C"/>
    <w:rsid w:val="00DB62E4"/>
    <w:rsid w:val="00DB6973"/>
    <w:rsid w:val="00DB6C51"/>
    <w:rsid w:val="00DB778A"/>
    <w:rsid w:val="00DB7F92"/>
    <w:rsid w:val="00DC0493"/>
    <w:rsid w:val="00DC32AA"/>
    <w:rsid w:val="00DC4600"/>
    <w:rsid w:val="00DC632B"/>
    <w:rsid w:val="00DC6D73"/>
    <w:rsid w:val="00DC7526"/>
    <w:rsid w:val="00DD29F7"/>
    <w:rsid w:val="00DD2A95"/>
    <w:rsid w:val="00DD3A5A"/>
    <w:rsid w:val="00DD51B8"/>
    <w:rsid w:val="00DE0A8A"/>
    <w:rsid w:val="00DE1E0E"/>
    <w:rsid w:val="00DE6CDC"/>
    <w:rsid w:val="00DF07E5"/>
    <w:rsid w:val="00DF326D"/>
    <w:rsid w:val="00DF50DF"/>
    <w:rsid w:val="00DF671B"/>
    <w:rsid w:val="00DF7808"/>
    <w:rsid w:val="00E00D9C"/>
    <w:rsid w:val="00E0333D"/>
    <w:rsid w:val="00E0386B"/>
    <w:rsid w:val="00E0693B"/>
    <w:rsid w:val="00E07922"/>
    <w:rsid w:val="00E115C4"/>
    <w:rsid w:val="00E11BE8"/>
    <w:rsid w:val="00E12363"/>
    <w:rsid w:val="00E12786"/>
    <w:rsid w:val="00E16782"/>
    <w:rsid w:val="00E21051"/>
    <w:rsid w:val="00E21AA0"/>
    <w:rsid w:val="00E229A6"/>
    <w:rsid w:val="00E23FA7"/>
    <w:rsid w:val="00E260CB"/>
    <w:rsid w:val="00E26A90"/>
    <w:rsid w:val="00E27238"/>
    <w:rsid w:val="00E27AFC"/>
    <w:rsid w:val="00E344E4"/>
    <w:rsid w:val="00E37099"/>
    <w:rsid w:val="00E370BE"/>
    <w:rsid w:val="00E37FCD"/>
    <w:rsid w:val="00E40717"/>
    <w:rsid w:val="00E44888"/>
    <w:rsid w:val="00E44DA4"/>
    <w:rsid w:val="00E45E30"/>
    <w:rsid w:val="00E46B58"/>
    <w:rsid w:val="00E53170"/>
    <w:rsid w:val="00E54D94"/>
    <w:rsid w:val="00E550F7"/>
    <w:rsid w:val="00E603E1"/>
    <w:rsid w:val="00E61643"/>
    <w:rsid w:val="00E629BA"/>
    <w:rsid w:val="00E62EFA"/>
    <w:rsid w:val="00E653E1"/>
    <w:rsid w:val="00E65957"/>
    <w:rsid w:val="00E65C2A"/>
    <w:rsid w:val="00E668F9"/>
    <w:rsid w:val="00E67971"/>
    <w:rsid w:val="00E712CD"/>
    <w:rsid w:val="00E732E1"/>
    <w:rsid w:val="00E74FDE"/>
    <w:rsid w:val="00E7719B"/>
    <w:rsid w:val="00E8154A"/>
    <w:rsid w:val="00E81927"/>
    <w:rsid w:val="00E81E18"/>
    <w:rsid w:val="00E84553"/>
    <w:rsid w:val="00E85575"/>
    <w:rsid w:val="00E85CD2"/>
    <w:rsid w:val="00E92E46"/>
    <w:rsid w:val="00E944CA"/>
    <w:rsid w:val="00E94B37"/>
    <w:rsid w:val="00E954D6"/>
    <w:rsid w:val="00EA1E99"/>
    <w:rsid w:val="00EA30DD"/>
    <w:rsid w:val="00EA327B"/>
    <w:rsid w:val="00EA4F63"/>
    <w:rsid w:val="00EA67E2"/>
    <w:rsid w:val="00EA6CAF"/>
    <w:rsid w:val="00EB0D62"/>
    <w:rsid w:val="00EB2DB2"/>
    <w:rsid w:val="00EB3B58"/>
    <w:rsid w:val="00EB3CBB"/>
    <w:rsid w:val="00EB3EA8"/>
    <w:rsid w:val="00EB419B"/>
    <w:rsid w:val="00EB44A8"/>
    <w:rsid w:val="00EB5263"/>
    <w:rsid w:val="00EB6351"/>
    <w:rsid w:val="00EB6B2B"/>
    <w:rsid w:val="00EB7FD2"/>
    <w:rsid w:val="00EC1ADD"/>
    <w:rsid w:val="00EC1B08"/>
    <w:rsid w:val="00EC2564"/>
    <w:rsid w:val="00EC29D8"/>
    <w:rsid w:val="00EC2F48"/>
    <w:rsid w:val="00EC3E28"/>
    <w:rsid w:val="00EC678B"/>
    <w:rsid w:val="00EC6B60"/>
    <w:rsid w:val="00ED10AD"/>
    <w:rsid w:val="00ED2B33"/>
    <w:rsid w:val="00ED32AC"/>
    <w:rsid w:val="00ED3326"/>
    <w:rsid w:val="00ED39FF"/>
    <w:rsid w:val="00ED680A"/>
    <w:rsid w:val="00EE3959"/>
    <w:rsid w:val="00EE47D6"/>
    <w:rsid w:val="00EE79A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1742B"/>
    <w:rsid w:val="00F214CD"/>
    <w:rsid w:val="00F229E2"/>
    <w:rsid w:val="00F24E8C"/>
    <w:rsid w:val="00F2673A"/>
    <w:rsid w:val="00F2766E"/>
    <w:rsid w:val="00F27BE6"/>
    <w:rsid w:val="00F27D7D"/>
    <w:rsid w:val="00F31154"/>
    <w:rsid w:val="00F3456C"/>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06E9"/>
    <w:rsid w:val="00F51A7C"/>
    <w:rsid w:val="00F51CE8"/>
    <w:rsid w:val="00F54CDF"/>
    <w:rsid w:val="00F56C98"/>
    <w:rsid w:val="00F56DBA"/>
    <w:rsid w:val="00F5724C"/>
    <w:rsid w:val="00F57547"/>
    <w:rsid w:val="00F630E6"/>
    <w:rsid w:val="00F64E00"/>
    <w:rsid w:val="00F65484"/>
    <w:rsid w:val="00F67766"/>
    <w:rsid w:val="00F70598"/>
    <w:rsid w:val="00F709A0"/>
    <w:rsid w:val="00F715FD"/>
    <w:rsid w:val="00F7245A"/>
    <w:rsid w:val="00F73140"/>
    <w:rsid w:val="00F75F0B"/>
    <w:rsid w:val="00F7649E"/>
    <w:rsid w:val="00F8100C"/>
    <w:rsid w:val="00F81356"/>
    <w:rsid w:val="00F84CAC"/>
    <w:rsid w:val="00F86081"/>
    <w:rsid w:val="00F867F6"/>
    <w:rsid w:val="00F86BF5"/>
    <w:rsid w:val="00F873BB"/>
    <w:rsid w:val="00F901CE"/>
    <w:rsid w:val="00F91A5E"/>
    <w:rsid w:val="00F91ECA"/>
    <w:rsid w:val="00F93D73"/>
    <w:rsid w:val="00F95E9E"/>
    <w:rsid w:val="00FA0B9D"/>
    <w:rsid w:val="00FA0C05"/>
    <w:rsid w:val="00FA4B58"/>
    <w:rsid w:val="00FA6BC7"/>
    <w:rsid w:val="00FB0EE1"/>
    <w:rsid w:val="00FB1136"/>
    <w:rsid w:val="00FB2F7D"/>
    <w:rsid w:val="00FB3469"/>
    <w:rsid w:val="00FB45BC"/>
    <w:rsid w:val="00FB6D56"/>
    <w:rsid w:val="00FC0207"/>
    <w:rsid w:val="00FD0733"/>
    <w:rsid w:val="00FD073F"/>
    <w:rsid w:val="00FD0AFA"/>
    <w:rsid w:val="00FD1BA5"/>
    <w:rsid w:val="00FD430D"/>
    <w:rsid w:val="00FD46EF"/>
    <w:rsid w:val="00FD53F9"/>
    <w:rsid w:val="00FD5FDB"/>
    <w:rsid w:val="00FD63AC"/>
    <w:rsid w:val="00FE107C"/>
    <w:rsid w:val="00FE32BD"/>
    <w:rsid w:val="00FE470C"/>
    <w:rsid w:val="00FE7115"/>
    <w:rsid w:val="00FF03D8"/>
    <w:rsid w:val="00FF168E"/>
    <w:rsid w:val="00FF270D"/>
    <w:rsid w:val="00FF361D"/>
    <w:rsid w:val="00FF5362"/>
    <w:rsid w:val="00FF536B"/>
    <w:rsid w:val="09C7B284"/>
    <w:rsid w:val="12D141A8"/>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3">
    <w:name w:val="heading 3"/>
    <w:basedOn w:val="a"/>
    <w:next w:val="a"/>
    <w:link w:val="30"/>
    <w:uiPriority w:val="9"/>
    <w:semiHidden/>
    <w:unhideWhenUsed/>
    <w:qFormat/>
    <w:rsid w:val="00E21AA0"/>
    <w:pPr>
      <w:keepNext/>
      <w:keepLines/>
      <w:spacing w:before="40"/>
      <w:outlineLvl w:val="2"/>
    </w:pPr>
    <w:rPr>
      <w:rFonts w:asciiTheme="majorHAnsi" w:eastAsiaTheme="majorEastAsia" w:hAnsiTheme="majorHAnsi" w:cstheme="majorBidi"/>
      <w:color w:val="0A2F4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uiPriority w:val="99"/>
    <w:semiHidden/>
    <w:rsid w:val="00143265"/>
    <w:rPr>
      <w:sz w:val="16"/>
      <w:szCs w:val="16"/>
    </w:rPr>
  </w:style>
  <w:style w:type="paragraph" w:styleId="a7">
    <w:name w:val="annotation text"/>
    <w:basedOn w:val="a"/>
    <w:link w:val="a8"/>
    <w:uiPriority w:val="99"/>
    <w:rsid w:val="00143265"/>
    <w:rPr>
      <w:sz w:val="20"/>
      <w:szCs w:val="20"/>
    </w:rPr>
  </w:style>
  <w:style w:type="paragraph" w:styleId="a9">
    <w:name w:val="annotation subject"/>
    <w:basedOn w:val="a7"/>
    <w:next w:val="a7"/>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uiPriority w:val="99"/>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styleId="aff">
    <w:name w:val="Mention"/>
    <w:basedOn w:val="a0"/>
    <w:uiPriority w:val="99"/>
    <w:unhideWhenUsed/>
    <w:rsid w:val="00594518"/>
    <w:rPr>
      <w:color w:val="2B579A"/>
      <w:shd w:val="clear" w:color="auto" w:fill="E1DFDD"/>
    </w:rPr>
  </w:style>
  <w:style w:type="character" w:customStyle="1" w:styleId="a8">
    <w:name w:val="Текст примітки Знак"/>
    <w:basedOn w:val="a0"/>
    <w:link w:val="a7"/>
    <w:uiPriority w:val="99"/>
    <w:rsid w:val="00BB1DA8"/>
    <w:rPr>
      <w:lang w:val="ru-RU" w:eastAsia="ru-RU"/>
    </w:rPr>
  </w:style>
  <w:style w:type="character" w:styleId="aff0">
    <w:name w:val="FollowedHyperlink"/>
    <w:basedOn w:val="a0"/>
    <w:uiPriority w:val="99"/>
    <w:semiHidden/>
    <w:unhideWhenUsed/>
    <w:rsid w:val="00556C6B"/>
    <w:rPr>
      <w:color w:val="96607D" w:themeColor="followedHyperlink"/>
      <w:u w:val="single"/>
    </w:rPr>
  </w:style>
  <w:style w:type="character" w:customStyle="1" w:styleId="30">
    <w:name w:val="Заголовок 3 Знак"/>
    <w:basedOn w:val="a0"/>
    <w:link w:val="3"/>
    <w:uiPriority w:val="9"/>
    <w:semiHidden/>
    <w:rsid w:val="00E21AA0"/>
    <w:rPr>
      <w:rFonts w:asciiTheme="majorHAnsi" w:eastAsiaTheme="majorEastAsia" w:hAnsiTheme="majorHAnsi" w:cstheme="majorBidi"/>
      <w:color w:val="0A2F40"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697586456">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12029725">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15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60865">
      <w:bodyDiv w:val="1"/>
      <w:marLeft w:val="0"/>
      <w:marRight w:val="0"/>
      <w:marTop w:val="0"/>
      <w:marBottom w:val="0"/>
      <w:divBdr>
        <w:top w:val="none" w:sz="0" w:space="0" w:color="auto"/>
        <w:left w:val="none" w:sz="0" w:space="0" w:color="auto"/>
        <w:bottom w:val="none" w:sz="0" w:space="0" w:color="auto"/>
        <w:right w:val="none" w:sz="0" w:space="0" w:color="auto"/>
      </w:divBdr>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387296547">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www.minfin.gov.ua/uploads/redactor/files/ifrs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2904</Words>
  <Characters>20479</Characters>
  <Application>Microsoft Office Word</Application>
  <DocSecurity>0</DocSecurity>
  <Lines>170</Lines>
  <Paragraphs>46</Paragraphs>
  <ScaleCrop>false</ScaleCrop>
  <Company>AUN of PLWH</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91</cp:revision>
  <cp:lastPrinted>2023-12-29T08:52:00Z</cp:lastPrinted>
  <dcterms:created xsi:type="dcterms:W3CDTF">2024-12-19T14:00:00Z</dcterms:created>
  <dcterms:modified xsi:type="dcterms:W3CDTF">2025-04-23T11:12:00Z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