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45EEE" w14:textId="7AD0F98B" w:rsidR="00844BA1" w:rsidRPr="00CA5183" w:rsidRDefault="00844BA1" w:rsidP="00297D6E">
      <w:pPr>
        <w:pStyle w:val="1"/>
        <w:jc w:val="center"/>
        <w:rPr>
          <w:lang w:val="ru-RU"/>
        </w:rPr>
      </w:pPr>
      <w:r w:rsidRPr="00124FF7">
        <w:rPr>
          <w:noProof/>
          <w:lang w:val="uk-UA"/>
        </w:rPr>
        <w:drawing>
          <wp:anchor distT="0" distB="0" distL="114300" distR="114300" simplePos="0" relativeHeight="251658240" behindDoc="0" locked="0" layoutInCell="1" allowOverlap="1" wp14:anchorId="69E2F960" wp14:editId="4385C2B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62000" cy="757555"/>
            <wp:effectExtent l="0" t="0" r="0" b="4445"/>
            <wp:wrapTopAndBottom/>
            <wp:docPr id="907585337" name="Picture 1" descr="Червоно-білий кружечок з хрестиком&#10;&#10;Опис генерується автомати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585337" name="Picture 1" descr="A red and white circle with a cros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4FF7">
        <w:rPr>
          <w:lang w:val="uk-UA"/>
        </w:rPr>
        <w:t>ТЕХНІЧНЕ ЗАВДАННЯ</w:t>
      </w:r>
    </w:p>
    <w:p w14:paraId="159AACC7" w14:textId="178E6922" w:rsidR="00844BA1" w:rsidRPr="00124FF7" w:rsidRDefault="004B04DA" w:rsidP="00297D6E">
      <w:pPr>
        <w:pStyle w:val="1"/>
        <w:jc w:val="center"/>
        <w:rPr>
          <w:lang w:val="uk-UA"/>
        </w:rPr>
      </w:pPr>
      <w:r w:rsidRPr="004B04DA">
        <w:rPr>
          <w:lang w:val="uk-UA"/>
        </w:rPr>
        <w:t>Послуги фасилітації процесу створення Національного стратегічного плану Товариства Червоного Хреста України на 2026 - 2030 роки</w:t>
      </w:r>
      <w:r>
        <w:rPr>
          <w:lang w:val="uk-UA"/>
        </w:rPr>
        <w:br/>
      </w:r>
    </w:p>
    <w:p w14:paraId="76B6E952" w14:textId="77777777" w:rsidR="006D4C42" w:rsidRPr="00124FF7" w:rsidRDefault="006D4C42" w:rsidP="00C22AD5">
      <w:pPr>
        <w:rPr>
          <w:rFonts w:ascii="Calibri" w:hAnsi="Calibri" w:cs="Calibri"/>
          <w:lang w:val="uk-UA"/>
        </w:rPr>
      </w:pPr>
    </w:p>
    <w:p w14:paraId="5237C892" w14:textId="77777777" w:rsidR="006D4C42" w:rsidRPr="00124FF7" w:rsidRDefault="006D4C42" w:rsidP="00C22AD5">
      <w:pPr>
        <w:rPr>
          <w:rFonts w:ascii="Calibri" w:hAnsi="Calibri" w:cs="Calibri"/>
          <w:b/>
          <w:bCs/>
          <w:sz w:val="24"/>
          <w:szCs w:val="24"/>
          <w:u w:val="single"/>
          <w:lang w:val="uk-UA"/>
        </w:rPr>
      </w:pPr>
      <w:r w:rsidRPr="00124FF7">
        <w:rPr>
          <w:rFonts w:ascii="Calibri" w:hAnsi="Calibri" w:cs="Calibri"/>
          <w:b/>
          <w:bCs/>
          <w:sz w:val="24"/>
          <w:szCs w:val="24"/>
          <w:u w:val="single"/>
          <w:lang w:val="uk-UA"/>
        </w:rPr>
        <w:t>Про Товариство Червоного Хреста України</w:t>
      </w:r>
    </w:p>
    <w:p w14:paraId="27D94AF6" w14:textId="131A574F" w:rsidR="00D64A8F" w:rsidRPr="00124FF7" w:rsidRDefault="00C22AD5" w:rsidP="00C22AD5">
      <w:pPr>
        <w:rPr>
          <w:rFonts w:ascii="Calibri" w:hAnsi="Calibri" w:cs="Calibri"/>
          <w:lang w:val="uk-UA"/>
        </w:rPr>
      </w:pPr>
      <w:r w:rsidRPr="00124FF7">
        <w:rPr>
          <w:rFonts w:ascii="Calibri" w:hAnsi="Calibri" w:cs="Calibri"/>
          <w:lang w:val="uk-UA"/>
        </w:rPr>
        <w:t xml:space="preserve">Товариство Червоного Хреста України (ТЧХУ) діє через мережу, яка складається з 200 відділень, 1500 співробітників, 8 000 волонтерів та членів по всій країні. </w:t>
      </w:r>
      <w:r w:rsidR="00124FF7">
        <w:rPr>
          <w:rFonts w:ascii="Calibri" w:hAnsi="Calibri" w:cs="Calibri"/>
          <w:lang w:val="uk-UA"/>
        </w:rPr>
        <w:t>ТЧХУ</w:t>
      </w:r>
      <w:r w:rsidRPr="00124FF7">
        <w:rPr>
          <w:rFonts w:ascii="Calibri" w:hAnsi="Calibri" w:cs="Calibri"/>
          <w:lang w:val="uk-UA"/>
        </w:rPr>
        <w:t xml:space="preserve"> має стратегічне положення для надання допомоги вразливим верствам населення та відіграє важливу роль у підвищенні потенціалу країни щодо запобігання та відновлення після наслідків гуманітарних та соціальних криз. Його робота здійснюється у тісній координації з органами державної влади та органами місцевого самоврядування, виконуючи свою допоміжну роль перед Урядом України. ТЧХУ також співпрацює як з місцевими, так і з міжнародними неурядовими організаціями (НУО), корпоративним сектором і отримує значну підтримку від партнерів в рамках Міжнародного руху Червоного Хреста і Червоного Півмісяця.</w:t>
      </w:r>
    </w:p>
    <w:p w14:paraId="03FD1526" w14:textId="77777777" w:rsidR="001F62C8" w:rsidRPr="00124FF7" w:rsidRDefault="001F62C8" w:rsidP="001F62C8">
      <w:pPr>
        <w:spacing w:after="0"/>
        <w:jc w:val="both"/>
        <w:rPr>
          <w:rFonts w:ascii="Calibri" w:hAnsi="Calibri" w:cs="Calibri"/>
          <w:b/>
          <w:bCs/>
          <w:sz w:val="24"/>
          <w:szCs w:val="24"/>
          <w:u w:val="single"/>
          <w:lang w:val="uk-UA"/>
        </w:rPr>
      </w:pPr>
      <w:r w:rsidRPr="00124FF7">
        <w:rPr>
          <w:rFonts w:ascii="Calibri" w:hAnsi="Calibri" w:cs="Calibri"/>
          <w:b/>
          <w:bCs/>
          <w:sz w:val="24"/>
          <w:szCs w:val="24"/>
          <w:u w:val="single"/>
          <w:lang w:val="uk-UA"/>
        </w:rPr>
        <w:t>Передісторія</w:t>
      </w:r>
    </w:p>
    <w:p w14:paraId="0BD67355" w14:textId="77777777" w:rsidR="00C22AD5" w:rsidRPr="00124FF7" w:rsidRDefault="00C22AD5" w:rsidP="001F62C8">
      <w:pPr>
        <w:spacing w:after="0"/>
        <w:jc w:val="both"/>
        <w:rPr>
          <w:rFonts w:ascii="Calibri" w:hAnsi="Calibri" w:cs="Calibri"/>
          <w:lang w:val="uk-UA"/>
        </w:rPr>
      </w:pPr>
    </w:p>
    <w:p w14:paraId="74AA7700" w14:textId="4C0B24DC" w:rsidR="0023412C" w:rsidRPr="00124FF7" w:rsidRDefault="001F62C8" w:rsidP="001F62C8">
      <w:pPr>
        <w:spacing w:after="0"/>
        <w:jc w:val="both"/>
        <w:rPr>
          <w:rFonts w:ascii="Calibri" w:hAnsi="Calibri" w:cs="Calibri"/>
          <w:lang w:val="uk-UA"/>
        </w:rPr>
      </w:pPr>
      <w:r w:rsidRPr="00124FF7">
        <w:rPr>
          <w:rFonts w:ascii="Calibri" w:hAnsi="Calibri" w:cs="Calibri"/>
          <w:lang w:val="uk-UA"/>
        </w:rPr>
        <w:t>ТЧХУ наближається до завершення терміну дії поточної Стратегії (2021-2025 роки). У середині 2024 року організація розробила дорожню карту створення свого Стратегічного плану (2026-2030 роки) та створила спеціальну Робочу групу. Цій групі, очолюваній заступником Генерального директора з питань розвитку національного суспільства (</w:t>
      </w:r>
      <w:r w:rsidR="00FD5479">
        <w:rPr>
          <w:rFonts w:ascii="Calibri" w:hAnsi="Calibri" w:cs="Calibri"/>
        </w:rPr>
        <w:t>National</w:t>
      </w:r>
      <w:r w:rsidR="00FD5479" w:rsidRPr="00F2273E">
        <w:rPr>
          <w:rFonts w:ascii="Calibri" w:hAnsi="Calibri" w:cs="Calibri"/>
          <w:lang w:val="uk-UA"/>
        </w:rPr>
        <w:t xml:space="preserve"> </w:t>
      </w:r>
      <w:r w:rsidR="00FD5479">
        <w:rPr>
          <w:rFonts w:ascii="Calibri" w:hAnsi="Calibri" w:cs="Calibri"/>
        </w:rPr>
        <w:t>So</w:t>
      </w:r>
      <w:r w:rsidR="00F2273E">
        <w:rPr>
          <w:rFonts w:ascii="Calibri" w:hAnsi="Calibri" w:cs="Calibri"/>
        </w:rPr>
        <w:t>ciety</w:t>
      </w:r>
      <w:r w:rsidR="00F2273E" w:rsidRPr="00F2273E">
        <w:rPr>
          <w:rFonts w:ascii="Calibri" w:hAnsi="Calibri" w:cs="Calibri"/>
          <w:lang w:val="uk-UA"/>
        </w:rPr>
        <w:t xml:space="preserve"> </w:t>
      </w:r>
      <w:r w:rsidR="00F2273E">
        <w:rPr>
          <w:rFonts w:ascii="Calibri" w:hAnsi="Calibri" w:cs="Calibri"/>
        </w:rPr>
        <w:t>Development</w:t>
      </w:r>
      <w:r w:rsidR="00F2273E" w:rsidRPr="00F2273E">
        <w:rPr>
          <w:rFonts w:ascii="Calibri" w:hAnsi="Calibri" w:cs="Calibri"/>
          <w:lang w:val="uk-UA"/>
        </w:rPr>
        <w:t xml:space="preserve"> - </w:t>
      </w:r>
      <w:r w:rsidR="00F2273E">
        <w:rPr>
          <w:rFonts w:ascii="Calibri" w:hAnsi="Calibri" w:cs="Calibri"/>
        </w:rPr>
        <w:t>NSD</w:t>
      </w:r>
      <w:r w:rsidRPr="00124FF7">
        <w:rPr>
          <w:rFonts w:ascii="Calibri" w:hAnsi="Calibri" w:cs="Calibri"/>
          <w:lang w:val="uk-UA"/>
        </w:rPr>
        <w:t xml:space="preserve">) і до складу якої входять кілька керівників, доручено керувати розробкою нового стратегічного документа. </w:t>
      </w:r>
    </w:p>
    <w:p w14:paraId="68D985B8" w14:textId="77777777" w:rsidR="009A0A28" w:rsidRPr="00124FF7" w:rsidRDefault="009A0A28" w:rsidP="001F62C8">
      <w:pPr>
        <w:spacing w:after="0"/>
        <w:jc w:val="both"/>
        <w:rPr>
          <w:rFonts w:ascii="Calibri" w:hAnsi="Calibri" w:cs="Calibri"/>
          <w:lang w:val="uk-UA"/>
        </w:rPr>
      </w:pPr>
    </w:p>
    <w:p w14:paraId="67B39B54" w14:textId="04EAD018" w:rsidR="00174AA9" w:rsidRPr="00124FF7" w:rsidRDefault="00056FF0" w:rsidP="00056FF0">
      <w:pPr>
        <w:spacing w:after="0"/>
        <w:jc w:val="both"/>
        <w:rPr>
          <w:rFonts w:ascii="Calibri" w:hAnsi="Calibri" w:cs="Calibri"/>
          <w:lang w:val="uk-UA"/>
        </w:rPr>
      </w:pPr>
      <w:r w:rsidRPr="00124FF7">
        <w:rPr>
          <w:rFonts w:ascii="Calibri" w:hAnsi="Calibri" w:cs="Calibri"/>
          <w:lang w:val="uk-UA"/>
        </w:rPr>
        <w:t xml:space="preserve">Останніми роками ТЧХУ адаптувалася до гуманітарних потреб, що швидко змінюються, спричинених початком війни у 2022 році. Цей період підштовхнув ТЧХУ до швидкої трансформації та масштабування своєї діяльності, щоб задовольнити безпрецедентні вимоги, що призвело до органічного розширення та прискореного зростання. Лише у 2023 році </w:t>
      </w:r>
      <w:r w:rsidR="00124FF7">
        <w:rPr>
          <w:rFonts w:ascii="Calibri" w:hAnsi="Calibri" w:cs="Calibri"/>
          <w:lang w:val="uk-UA"/>
        </w:rPr>
        <w:t>ТЧХУ</w:t>
      </w:r>
      <w:r w:rsidRPr="00124FF7">
        <w:rPr>
          <w:rFonts w:ascii="Calibri" w:hAnsi="Calibri" w:cs="Calibri"/>
          <w:lang w:val="uk-UA"/>
        </w:rPr>
        <w:t xml:space="preserve"> охопила </w:t>
      </w:r>
      <w:r w:rsidR="00180EF2">
        <w:rPr>
          <w:rFonts w:ascii="Calibri" w:hAnsi="Calibri" w:cs="Calibri"/>
          <w:lang w:val="uk-UA"/>
        </w:rPr>
        <w:t xml:space="preserve">допомогою </w:t>
      </w:r>
      <w:r w:rsidRPr="00124FF7">
        <w:rPr>
          <w:rFonts w:ascii="Calibri" w:hAnsi="Calibri" w:cs="Calibri"/>
          <w:lang w:val="uk-UA"/>
        </w:rPr>
        <w:t xml:space="preserve">понад 3,1 мільйона людей за підтримки різних донорів, починаючи від міжнародних урядів та їхніх агентств, Руху Червоного Хреста та Червоного Півмісяця до приватних підприємств та приватних осіб. </w:t>
      </w:r>
    </w:p>
    <w:p w14:paraId="4DE83987" w14:textId="77777777" w:rsidR="00514B08" w:rsidRPr="00124FF7" w:rsidRDefault="00514B08" w:rsidP="00056FF0">
      <w:pPr>
        <w:spacing w:after="0"/>
        <w:jc w:val="both"/>
        <w:rPr>
          <w:rFonts w:ascii="Calibri" w:hAnsi="Calibri" w:cs="Calibri"/>
          <w:lang w:val="uk-UA"/>
        </w:rPr>
      </w:pPr>
    </w:p>
    <w:p w14:paraId="026F81F8" w14:textId="7930CCB5" w:rsidR="00514B08" w:rsidRPr="00124FF7" w:rsidRDefault="00BD19AD" w:rsidP="00BD19AD">
      <w:pPr>
        <w:spacing w:after="0"/>
        <w:jc w:val="both"/>
        <w:rPr>
          <w:rFonts w:ascii="Calibri" w:hAnsi="Calibri" w:cs="Calibri"/>
          <w:lang w:val="uk-UA"/>
        </w:rPr>
      </w:pPr>
      <w:r w:rsidRPr="00124FF7">
        <w:rPr>
          <w:rFonts w:ascii="Calibri" w:hAnsi="Calibri" w:cs="Calibri"/>
          <w:lang w:val="uk-UA"/>
        </w:rPr>
        <w:t>У цей трансформаційний період ТЧХУ реалізува</w:t>
      </w:r>
      <w:r w:rsidR="00180EF2">
        <w:rPr>
          <w:rFonts w:ascii="Calibri" w:hAnsi="Calibri" w:cs="Calibri"/>
          <w:lang w:val="uk-UA"/>
        </w:rPr>
        <w:t>ло</w:t>
      </w:r>
      <w:r w:rsidRPr="00124FF7">
        <w:rPr>
          <w:rFonts w:ascii="Calibri" w:hAnsi="Calibri" w:cs="Calibri"/>
          <w:lang w:val="uk-UA"/>
        </w:rPr>
        <w:t xml:space="preserve"> низку стратегічних ініціатив. Вони включали посилення спроможності оперативного реагування в таких сферах, як реагування на надзвичайні ситуації, охорона здоров'я, відновлення, ліквідація наслідків стихійних лих</w:t>
      </w:r>
      <w:r w:rsidR="00132386">
        <w:rPr>
          <w:rFonts w:ascii="Calibri" w:hAnsi="Calibri" w:cs="Calibri"/>
          <w:lang w:val="uk-UA"/>
        </w:rPr>
        <w:t>,</w:t>
      </w:r>
      <w:r w:rsidRPr="00124FF7">
        <w:rPr>
          <w:rFonts w:ascii="Calibri" w:hAnsi="Calibri" w:cs="Calibri"/>
          <w:lang w:val="uk-UA"/>
        </w:rPr>
        <w:t xml:space="preserve"> та програмування; зміцнення своїх філіальних та волонтерських мереж; впровадження цифровізації; а також вивчення інноваційних підходів до співпраці та мобілізації ресурсів. ТЧХУ також розширив свою гуманітарну дипломатію та партнерство в усіх секторах, як на внутрішньому, так і на міжнародному рівнях.</w:t>
      </w:r>
    </w:p>
    <w:p w14:paraId="00135684" w14:textId="77777777" w:rsidR="00BA2455" w:rsidRPr="00124FF7" w:rsidRDefault="00BA2455" w:rsidP="00056FF0">
      <w:pPr>
        <w:spacing w:after="0"/>
        <w:jc w:val="both"/>
        <w:rPr>
          <w:rFonts w:ascii="Calibri" w:hAnsi="Calibri" w:cs="Calibri"/>
          <w:lang w:val="uk-UA"/>
        </w:rPr>
      </w:pPr>
    </w:p>
    <w:p w14:paraId="167DAE4D" w14:textId="3723CA71" w:rsidR="0023412C" w:rsidRPr="00124FF7" w:rsidRDefault="00423BA6" w:rsidP="00423BA6">
      <w:pPr>
        <w:spacing w:after="0"/>
        <w:jc w:val="both"/>
        <w:rPr>
          <w:rFonts w:ascii="Calibri" w:hAnsi="Calibri" w:cs="Calibri"/>
          <w:lang w:val="uk-UA"/>
        </w:rPr>
      </w:pPr>
      <w:r w:rsidRPr="00124FF7">
        <w:rPr>
          <w:rFonts w:ascii="Calibri" w:hAnsi="Calibri" w:cs="Calibri"/>
          <w:lang w:val="uk-UA"/>
        </w:rPr>
        <w:t>Оскільки ТЧХУ приступає до розробки нового документа Стратегії, з'являється можливість консолідувати ці зусилля, переглянути та удосконалити підходи, а також впровадити вправи зі стратегічного планування. Це передбачатиме встановлення мінімальних стандартів для планування, моніторингу, оцінки та звітності, впровадження підходу, заснованого на передбаченні</w:t>
      </w:r>
      <w:r w:rsidR="00EA1A35">
        <w:rPr>
          <w:rFonts w:ascii="Calibri" w:hAnsi="Calibri" w:cs="Calibri"/>
          <w:lang w:val="uk-UA"/>
        </w:rPr>
        <w:t xml:space="preserve"> (</w:t>
      </w:r>
      <w:r w:rsidR="00D95AC0">
        <w:rPr>
          <w:rFonts w:ascii="Calibri" w:hAnsi="Calibri" w:cs="Calibri"/>
        </w:rPr>
        <w:t>foresight</w:t>
      </w:r>
      <w:r w:rsidR="00D95AC0" w:rsidRPr="00D95AC0">
        <w:rPr>
          <w:rFonts w:ascii="Calibri" w:hAnsi="Calibri" w:cs="Calibri"/>
          <w:lang w:val="ru-RU"/>
        </w:rPr>
        <w:t>)</w:t>
      </w:r>
      <w:r w:rsidRPr="00124FF7">
        <w:rPr>
          <w:rFonts w:ascii="Calibri" w:hAnsi="Calibri" w:cs="Calibri"/>
          <w:lang w:val="uk-UA"/>
        </w:rPr>
        <w:t xml:space="preserve">, та сприяння </w:t>
      </w:r>
      <w:r w:rsidR="00666A94">
        <w:rPr>
          <w:rFonts w:ascii="Calibri" w:hAnsi="Calibri" w:cs="Calibri"/>
          <w:lang w:val="uk-UA"/>
        </w:rPr>
        <w:t>заснованому на доказах</w:t>
      </w:r>
      <w:r w:rsidRPr="00124FF7">
        <w:rPr>
          <w:rFonts w:ascii="Calibri" w:hAnsi="Calibri" w:cs="Calibri"/>
          <w:lang w:val="uk-UA"/>
        </w:rPr>
        <w:t xml:space="preserve"> та проактивному оперативному плануванню. Новий Стратегічний план матиме важливе значення для забезпечення </w:t>
      </w:r>
      <w:r w:rsidR="00124FF7">
        <w:rPr>
          <w:rFonts w:ascii="Calibri" w:hAnsi="Calibri" w:cs="Calibri"/>
          <w:lang w:val="uk-UA"/>
        </w:rPr>
        <w:t>ТЧХУ</w:t>
      </w:r>
      <w:r w:rsidRPr="00124FF7">
        <w:rPr>
          <w:rFonts w:ascii="Calibri" w:hAnsi="Calibri" w:cs="Calibri"/>
          <w:lang w:val="uk-UA"/>
        </w:rPr>
        <w:t xml:space="preserve"> як сильної, гнучкої організації, яка залишається відданою наданню ефективної, своєчасної та орієнтованої на потреби підтримки вразливим громадам по всій Україні.</w:t>
      </w:r>
    </w:p>
    <w:p w14:paraId="1FCD9930" w14:textId="77777777" w:rsidR="00423BA6" w:rsidRPr="00124FF7" w:rsidRDefault="00423BA6" w:rsidP="00423BA6">
      <w:pPr>
        <w:spacing w:after="0"/>
        <w:jc w:val="both"/>
        <w:rPr>
          <w:rFonts w:ascii="Calibri" w:hAnsi="Calibri" w:cs="Calibri"/>
          <w:lang w:val="uk-UA"/>
        </w:rPr>
      </w:pPr>
    </w:p>
    <w:p w14:paraId="5CA26F09" w14:textId="7F160532" w:rsidR="001F62C8" w:rsidRPr="00124FF7" w:rsidRDefault="61FB3F9C" w:rsidP="00E7523E">
      <w:pPr>
        <w:rPr>
          <w:rFonts w:ascii="Calibri" w:hAnsi="Calibri" w:cs="Calibri"/>
          <w:lang w:val="uk-UA"/>
        </w:rPr>
      </w:pPr>
      <w:r w:rsidRPr="00124FF7">
        <w:rPr>
          <w:rFonts w:ascii="Calibri" w:hAnsi="Calibri" w:cs="Calibri"/>
          <w:b/>
          <w:bCs/>
          <w:lang w:val="uk-UA"/>
        </w:rPr>
        <w:t>ТЧХУ вітає пропозиції від постачальників послуг</w:t>
      </w:r>
      <w:r w:rsidR="00FD0473">
        <w:rPr>
          <w:rFonts w:ascii="Calibri" w:hAnsi="Calibri" w:cs="Calibri"/>
          <w:b/>
          <w:bCs/>
          <w:lang w:val="uk-UA"/>
        </w:rPr>
        <w:t xml:space="preserve"> (сервіс-провайдера)</w:t>
      </w:r>
      <w:r w:rsidR="00680BA3" w:rsidRPr="00124FF7">
        <w:rPr>
          <w:rFonts w:ascii="Calibri" w:hAnsi="Calibri" w:cs="Calibri"/>
          <w:lang w:val="uk-UA"/>
        </w:rPr>
        <w:t xml:space="preserve">, які будуть залучені в якості експертів для надання порад, вказівок та підтримки протягом усього процесу стратегічного планування та після нього. Їхні основні обов'язки включатимуть консультування та коучинг, допомогу у зборі та аналізі даних, консультування керівництва ТЧХУ та Робочої групи зі стратегічного планування, </w:t>
      </w:r>
      <w:r w:rsidR="00D6436E">
        <w:rPr>
          <w:rFonts w:ascii="Calibri" w:hAnsi="Calibri" w:cs="Calibri"/>
          <w:lang w:val="uk-UA"/>
        </w:rPr>
        <w:t>управління</w:t>
      </w:r>
      <w:r w:rsidR="00B80D4D">
        <w:rPr>
          <w:rFonts w:ascii="Calibri" w:hAnsi="Calibri" w:cs="Calibri"/>
          <w:lang w:val="uk-UA"/>
        </w:rPr>
        <w:t xml:space="preserve"> </w:t>
      </w:r>
      <w:r w:rsidR="00B97D17">
        <w:rPr>
          <w:rFonts w:ascii="Calibri" w:hAnsi="Calibri" w:cs="Calibri"/>
          <w:lang w:val="uk-UA"/>
        </w:rPr>
        <w:t>(модерація, фасилітація, тощо)</w:t>
      </w:r>
      <w:r w:rsidR="00680BA3" w:rsidRPr="00124FF7">
        <w:rPr>
          <w:rFonts w:ascii="Calibri" w:hAnsi="Calibri" w:cs="Calibri"/>
          <w:lang w:val="uk-UA"/>
        </w:rPr>
        <w:t xml:space="preserve"> дискусіями для досягнення поставлених цілей, залучення всіх учасників, документування ключових дискусій та їх результатів, сприяння проведенню консультативних семінарів, таким чином сприяючи розробці остаточного стратегічного документа: Стратегічного плану ТЧХУ на 2026-2030 роки.</w:t>
      </w:r>
    </w:p>
    <w:p w14:paraId="0ADAF8EF" w14:textId="10544249" w:rsidR="00C22AD5" w:rsidRPr="00124FF7" w:rsidRDefault="00C22AD5" w:rsidP="001F62C8">
      <w:pPr>
        <w:rPr>
          <w:rFonts w:ascii="Calibri" w:hAnsi="Calibri" w:cs="Calibri"/>
          <w:b/>
          <w:bCs/>
          <w:sz w:val="24"/>
          <w:szCs w:val="24"/>
          <w:u w:val="single"/>
          <w:lang w:val="uk-UA"/>
        </w:rPr>
      </w:pPr>
      <w:r w:rsidRPr="00124FF7">
        <w:rPr>
          <w:rFonts w:ascii="Calibri" w:hAnsi="Calibri" w:cs="Calibri"/>
          <w:b/>
          <w:bCs/>
          <w:sz w:val="24"/>
          <w:szCs w:val="24"/>
          <w:u w:val="single"/>
          <w:lang w:val="uk-UA"/>
        </w:rPr>
        <w:t>Ціл</w:t>
      </w:r>
      <w:r w:rsidR="0040528E">
        <w:rPr>
          <w:rFonts w:ascii="Calibri" w:hAnsi="Calibri" w:cs="Calibri"/>
          <w:b/>
          <w:bCs/>
          <w:sz w:val="24"/>
          <w:szCs w:val="24"/>
          <w:u w:val="single"/>
          <w:lang w:val="uk-UA"/>
        </w:rPr>
        <w:t>і</w:t>
      </w:r>
    </w:p>
    <w:p w14:paraId="51165774" w14:textId="2D4D0719" w:rsidR="00C22AD5" w:rsidRPr="00124FF7" w:rsidRDefault="00C22AD5" w:rsidP="00C22AD5">
      <w:pPr>
        <w:pStyle w:val="Default"/>
        <w:jc w:val="both"/>
        <w:rPr>
          <w:color w:val="auto"/>
          <w:sz w:val="22"/>
          <w:szCs w:val="22"/>
          <w:lang w:val="uk-UA"/>
        </w:rPr>
      </w:pPr>
      <w:r w:rsidRPr="00124FF7">
        <w:rPr>
          <w:color w:val="auto"/>
          <w:sz w:val="22"/>
          <w:szCs w:val="22"/>
          <w:lang w:val="uk-UA"/>
        </w:rPr>
        <w:t xml:space="preserve">Загальною метою цього консалтингу є </w:t>
      </w:r>
      <w:r w:rsidR="000421A4" w:rsidRPr="001012D1">
        <w:rPr>
          <w:color w:val="auto"/>
          <w:sz w:val="22"/>
          <w:szCs w:val="22"/>
          <w:lang w:val="uk-UA"/>
        </w:rPr>
        <w:t>керування</w:t>
      </w:r>
      <w:r w:rsidR="000A4071">
        <w:rPr>
          <w:color w:val="auto"/>
          <w:sz w:val="22"/>
          <w:szCs w:val="22"/>
          <w:lang w:val="uk-UA"/>
        </w:rPr>
        <w:t xml:space="preserve"> </w:t>
      </w:r>
      <w:r w:rsidR="00A63727" w:rsidRPr="00A63727">
        <w:rPr>
          <w:color w:val="auto"/>
          <w:sz w:val="22"/>
          <w:szCs w:val="22"/>
          <w:lang w:val="uk-UA"/>
        </w:rPr>
        <w:t>(</w:t>
      </w:r>
      <w:r w:rsidR="00A63727">
        <w:rPr>
          <w:color w:val="auto"/>
          <w:sz w:val="22"/>
          <w:szCs w:val="22"/>
          <w:lang w:val="uk-UA"/>
        </w:rPr>
        <w:t>інструктування,</w:t>
      </w:r>
      <w:r w:rsidR="00B15A98">
        <w:rPr>
          <w:color w:val="auto"/>
          <w:sz w:val="22"/>
          <w:szCs w:val="22"/>
          <w:lang w:val="uk-UA"/>
        </w:rPr>
        <w:t xml:space="preserve"> направлення, настанови, </w:t>
      </w:r>
      <w:r w:rsidR="00BB04AA">
        <w:rPr>
          <w:color w:val="auto"/>
          <w:sz w:val="22"/>
          <w:szCs w:val="22"/>
          <w:lang w:val="uk-UA"/>
        </w:rPr>
        <w:t xml:space="preserve">ведення, </w:t>
      </w:r>
      <w:r w:rsidR="000E21F0">
        <w:rPr>
          <w:color w:val="auto"/>
          <w:sz w:val="22"/>
          <w:szCs w:val="22"/>
          <w:lang w:val="uk-UA"/>
        </w:rPr>
        <w:t xml:space="preserve">структурування і </w:t>
      </w:r>
      <w:r w:rsidR="00371DE7">
        <w:rPr>
          <w:color w:val="auto"/>
          <w:sz w:val="22"/>
          <w:szCs w:val="22"/>
          <w:lang w:val="uk-UA"/>
        </w:rPr>
        <w:t>фасилі</w:t>
      </w:r>
      <w:r w:rsidR="00F91E0C">
        <w:rPr>
          <w:color w:val="auto"/>
          <w:sz w:val="22"/>
          <w:szCs w:val="22"/>
          <w:lang w:val="uk-UA"/>
        </w:rPr>
        <w:t xml:space="preserve">тація </w:t>
      </w:r>
      <w:r w:rsidR="000E21F0">
        <w:rPr>
          <w:color w:val="auto"/>
          <w:sz w:val="22"/>
          <w:szCs w:val="22"/>
          <w:lang w:val="uk-UA"/>
        </w:rPr>
        <w:t>інтервенцій</w:t>
      </w:r>
      <w:r w:rsidR="00F91E0C">
        <w:rPr>
          <w:color w:val="auto"/>
          <w:sz w:val="22"/>
          <w:szCs w:val="22"/>
          <w:lang w:val="uk-UA"/>
        </w:rPr>
        <w:t xml:space="preserve">, </w:t>
      </w:r>
      <w:r w:rsidR="00BB04AA">
        <w:rPr>
          <w:color w:val="auto"/>
          <w:sz w:val="22"/>
          <w:szCs w:val="22"/>
          <w:lang w:val="uk-UA"/>
        </w:rPr>
        <w:t>тощо)</w:t>
      </w:r>
      <w:r w:rsidR="00A63727">
        <w:rPr>
          <w:color w:val="auto"/>
          <w:sz w:val="22"/>
          <w:szCs w:val="22"/>
          <w:lang w:val="uk-UA"/>
        </w:rPr>
        <w:t xml:space="preserve"> </w:t>
      </w:r>
      <w:r w:rsidRPr="00124FF7">
        <w:rPr>
          <w:color w:val="auto"/>
          <w:sz w:val="22"/>
          <w:szCs w:val="22"/>
          <w:lang w:val="uk-UA"/>
        </w:rPr>
        <w:t xml:space="preserve"> ТЧХУ в процесі стратегічного планування, сприяння проведенню стратегічних дискусій на основі поперед</w:t>
      </w:r>
      <w:r w:rsidR="000E21F0">
        <w:rPr>
          <w:color w:val="auto"/>
          <w:sz w:val="22"/>
          <w:szCs w:val="22"/>
          <w:lang w:val="uk-UA"/>
        </w:rPr>
        <w:t>ньо підготовленої</w:t>
      </w:r>
      <w:r w:rsidRPr="00124FF7">
        <w:rPr>
          <w:color w:val="auto"/>
          <w:sz w:val="22"/>
          <w:szCs w:val="22"/>
          <w:lang w:val="uk-UA"/>
        </w:rPr>
        <w:t xml:space="preserve"> інформації та підготовчих вправ. Конкретними цілями є:</w:t>
      </w:r>
    </w:p>
    <w:p w14:paraId="370DA32E" w14:textId="5A9F2AB7" w:rsidR="00B73D93" w:rsidRPr="00124FF7" w:rsidRDefault="00B73D93" w:rsidP="00C22AD5">
      <w:pPr>
        <w:pStyle w:val="Default"/>
        <w:numPr>
          <w:ilvl w:val="0"/>
          <w:numId w:val="1"/>
        </w:numPr>
        <w:spacing w:after="58"/>
        <w:jc w:val="both"/>
        <w:rPr>
          <w:color w:val="auto"/>
          <w:sz w:val="22"/>
          <w:szCs w:val="22"/>
          <w:lang w:val="uk-UA"/>
        </w:rPr>
      </w:pPr>
      <w:r w:rsidRPr="00124FF7">
        <w:rPr>
          <w:color w:val="auto"/>
          <w:sz w:val="22"/>
          <w:szCs w:val="22"/>
          <w:lang w:val="uk-UA"/>
        </w:rPr>
        <w:t>Створ</w:t>
      </w:r>
      <w:r w:rsidR="00ED250D">
        <w:rPr>
          <w:color w:val="auto"/>
          <w:sz w:val="22"/>
          <w:szCs w:val="22"/>
          <w:lang w:val="uk-UA"/>
        </w:rPr>
        <w:t>ити</w:t>
      </w:r>
      <w:r w:rsidR="00D76CF6">
        <w:rPr>
          <w:color w:val="auto"/>
          <w:sz w:val="22"/>
          <w:szCs w:val="22"/>
          <w:lang w:val="uk-UA"/>
        </w:rPr>
        <w:t xml:space="preserve"> </w:t>
      </w:r>
      <w:r w:rsidRPr="00124FF7">
        <w:rPr>
          <w:color w:val="auto"/>
          <w:sz w:val="22"/>
          <w:szCs w:val="22"/>
          <w:lang w:val="uk-UA"/>
        </w:rPr>
        <w:t>контекстуальну інформаці</w:t>
      </w:r>
      <w:r w:rsidR="001952B2">
        <w:rPr>
          <w:color w:val="auto"/>
          <w:sz w:val="22"/>
          <w:szCs w:val="22"/>
          <w:lang w:val="uk-UA"/>
        </w:rPr>
        <w:t>йну базу</w:t>
      </w:r>
      <w:r w:rsidRPr="00124FF7">
        <w:rPr>
          <w:color w:val="auto"/>
          <w:sz w:val="22"/>
          <w:szCs w:val="22"/>
          <w:lang w:val="uk-UA"/>
        </w:rPr>
        <w:t xml:space="preserve"> разом із прогнозними тенденціями для більш чіткого планування, що ґрунту</w:t>
      </w:r>
      <w:r w:rsidR="00D30485">
        <w:rPr>
          <w:color w:val="auto"/>
          <w:sz w:val="22"/>
          <w:szCs w:val="22"/>
          <w:lang w:val="uk-UA"/>
        </w:rPr>
        <w:t>є</w:t>
      </w:r>
      <w:r w:rsidRPr="00124FF7">
        <w:rPr>
          <w:color w:val="auto"/>
          <w:sz w:val="22"/>
          <w:szCs w:val="22"/>
          <w:lang w:val="uk-UA"/>
        </w:rPr>
        <w:t>ться на фактичних даних.</w:t>
      </w:r>
    </w:p>
    <w:p w14:paraId="66FE7863" w14:textId="7C88C9D6" w:rsidR="00406869" w:rsidRPr="00124FF7" w:rsidRDefault="00406869" w:rsidP="00406869">
      <w:pPr>
        <w:pStyle w:val="Default"/>
        <w:numPr>
          <w:ilvl w:val="0"/>
          <w:numId w:val="1"/>
        </w:numPr>
        <w:spacing w:after="58"/>
        <w:jc w:val="both"/>
        <w:rPr>
          <w:color w:val="auto"/>
          <w:sz w:val="22"/>
          <w:szCs w:val="22"/>
          <w:lang w:val="uk-UA"/>
        </w:rPr>
      </w:pPr>
      <w:r w:rsidRPr="00124FF7">
        <w:rPr>
          <w:color w:val="auto"/>
          <w:sz w:val="22"/>
          <w:szCs w:val="22"/>
          <w:lang w:val="uk-UA"/>
        </w:rPr>
        <w:t>Підтрим</w:t>
      </w:r>
      <w:r w:rsidR="00BA7E3E">
        <w:rPr>
          <w:color w:val="auto"/>
          <w:sz w:val="22"/>
          <w:szCs w:val="22"/>
          <w:lang w:val="uk-UA"/>
        </w:rPr>
        <w:t>ати</w:t>
      </w:r>
      <w:r w:rsidRPr="00124FF7">
        <w:rPr>
          <w:color w:val="auto"/>
          <w:sz w:val="22"/>
          <w:szCs w:val="22"/>
          <w:lang w:val="uk-UA"/>
        </w:rPr>
        <w:t xml:space="preserve"> ТЧХУ в підготовчих заходах до стратегічного планування шляхом узагальнення та синтезу внесків мозкового штурму керівництва, програмних та галузевих оцінок</w:t>
      </w:r>
      <w:r w:rsidR="00264AE6" w:rsidRPr="00264AE6">
        <w:rPr>
          <w:color w:val="auto"/>
          <w:sz w:val="22"/>
          <w:szCs w:val="22"/>
          <w:lang w:val="uk-UA"/>
        </w:rPr>
        <w:t xml:space="preserve"> </w:t>
      </w:r>
      <w:r w:rsidR="00040C20" w:rsidRPr="00040C20">
        <w:rPr>
          <w:color w:val="auto"/>
          <w:sz w:val="22"/>
          <w:szCs w:val="22"/>
          <w:lang w:val="uk-UA"/>
        </w:rPr>
        <w:t xml:space="preserve">/ </w:t>
      </w:r>
      <w:r w:rsidR="00040C20">
        <w:rPr>
          <w:color w:val="auto"/>
          <w:sz w:val="22"/>
          <w:szCs w:val="22"/>
          <w:lang w:val="uk-UA"/>
        </w:rPr>
        <w:t>результатів досліджень</w:t>
      </w:r>
      <w:r w:rsidRPr="00124FF7">
        <w:rPr>
          <w:color w:val="auto"/>
          <w:sz w:val="22"/>
          <w:szCs w:val="22"/>
          <w:lang w:val="uk-UA"/>
        </w:rPr>
        <w:t>, оцінок потреб ключових зацікавлених сторін та місцевих органів влади, а також шляхом підготовки до таких подій, як діалоги з урядом та взаємодія з корпоративним</w:t>
      </w:r>
      <w:r w:rsidR="0091394D">
        <w:rPr>
          <w:color w:val="auto"/>
          <w:sz w:val="22"/>
          <w:szCs w:val="22"/>
          <w:lang w:val="uk-UA"/>
        </w:rPr>
        <w:t>и</w:t>
      </w:r>
      <w:r w:rsidRPr="00124FF7">
        <w:rPr>
          <w:color w:val="auto"/>
          <w:sz w:val="22"/>
          <w:szCs w:val="22"/>
          <w:lang w:val="uk-UA"/>
        </w:rPr>
        <w:t xml:space="preserve"> партнер</w:t>
      </w:r>
      <w:r w:rsidR="0091394D">
        <w:rPr>
          <w:color w:val="auto"/>
          <w:sz w:val="22"/>
          <w:szCs w:val="22"/>
          <w:lang w:val="uk-UA"/>
        </w:rPr>
        <w:t>а</w:t>
      </w:r>
      <w:r w:rsidRPr="00124FF7">
        <w:rPr>
          <w:color w:val="auto"/>
          <w:sz w:val="22"/>
          <w:szCs w:val="22"/>
          <w:lang w:val="uk-UA"/>
        </w:rPr>
        <w:t>м</w:t>
      </w:r>
      <w:r w:rsidR="0091394D">
        <w:rPr>
          <w:color w:val="auto"/>
          <w:sz w:val="22"/>
          <w:szCs w:val="22"/>
          <w:lang w:val="uk-UA"/>
        </w:rPr>
        <w:t>и</w:t>
      </w:r>
      <w:r w:rsidR="003D2260">
        <w:rPr>
          <w:color w:val="auto"/>
          <w:sz w:val="22"/>
          <w:szCs w:val="22"/>
          <w:lang w:val="uk-UA"/>
        </w:rPr>
        <w:t xml:space="preserve"> (за потреби)</w:t>
      </w:r>
    </w:p>
    <w:p w14:paraId="0677FA47" w14:textId="48483E73" w:rsidR="002617C7" w:rsidRPr="00124FF7" w:rsidRDefault="00D12BC3" w:rsidP="00406869">
      <w:pPr>
        <w:pStyle w:val="Default"/>
        <w:numPr>
          <w:ilvl w:val="0"/>
          <w:numId w:val="1"/>
        </w:numPr>
        <w:spacing w:after="58"/>
        <w:jc w:val="both"/>
        <w:rPr>
          <w:color w:val="auto"/>
          <w:sz w:val="22"/>
          <w:szCs w:val="22"/>
          <w:lang w:val="uk-UA"/>
        </w:rPr>
      </w:pPr>
      <w:r>
        <w:rPr>
          <w:color w:val="auto"/>
          <w:sz w:val="22"/>
          <w:szCs w:val="22"/>
          <w:lang w:val="uk-UA"/>
        </w:rPr>
        <w:t>Фасилітувати</w:t>
      </w:r>
      <w:r w:rsidR="000F3507" w:rsidRPr="00124FF7">
        <w:rPr>
          <w:color w:val="auto"/>
          <w:sz w:val="22"/>
          <w:szCs w:val="22"/>
          <w:lang w:val="uk-UA"/>
        </w:rPr>
        <w:t xml:space="preserve"> проведенн</w:t>
      </w:r>
      <w:r>
        <w:rPr>
          <w:color w:val="auto"/>
          <w:sz w:val="22"/>
          <w:szCs w:val="22"/>
          <w:lang w:val="uk-UA"/>
        </w:rPr>
        <w:t>я</w:t>
      </w:r>
      <w:r w:rsidR="000F3507" w:rsidRPr="00124FF7">
        <w:rPr>
          <w:color w:val="auto"/>
          <w:sz w:val="22"/>
          <w:szCs w:val="22"/>
          <w:lang w:val="uk-UA"/>
        </w:rPr>
        <w:t xml:space="preserve"> конструктивних дискусій, головним чином на тему стратегічного майбутнього та сесі</w:t>
      </w:r>
      <w:r>
        <w:rPr>
          <w:color w:val="auto"/>
          <w:sz w:val="22"/>
          <w:szCs w:val="22"/>
          <w:lang w:val="uk-UA"/>
        </w:rPr>
        <w:t>й</w:t>
      </w:r>
      <w:r w:rsidR="000F3507" w:rsidRPr="00124FF7">
        <w:rPr>
          <w:color w:val="auto"/>
          <w:sz w:val="22"/>
          <w:szCs w:val="22"/>
          <w:lang w:val="uk-UA"/>
        </w:rPr>
        <w:t xml:space="preserve"> з передбачення</w:t>
      </w:r>
      <w:r>
        <w:rPr>
          <w:color w:val="auto"/>
          <w:sz w:val="22"/>
          <w:szCs w:val="22"/>
          <w:lang w:val="uk-UA"/>
        </w:rPr>
        <w:t xml:space="preserve"> (</w:t>
      </w:r>
      <w:r>
        <w:rPr>
          <w:color w:val="auto"/>
          <w:sz w:val="22"/>
          <w:szCs w:val="22"/>
        </w:rPr>
        <w:t>foresight</w:t>
      </w:r>
      <w:r w:rsidRPr="00D12BC3">
        <w:rPr>
          <w:color w:val="auto"/>
          <w:sz w:val="22"/>
          <w:szCs w:val="22"/>
          <w:lang w:val="ru-RU"/>
        </w:rPr>
        <w:t xml:space="preserve"> </w:t>
      </w:r>
      <w:r>
        <w:rPr>
          <w:color w:val="auto"/>
          <w:sz w:val="22"/>
          <w:szCs w:val="22"/>
        </w:rPr>
        <w:t>session</w:t>
      </w:r>
      <w:r w:rsidR="003D2260">
        <w:rPr>
          <w:color w:val="auto"/>
          <w:sz w:val="22"/>
          <w:szCs w:val="22"/>
        </w:rPr>
        <w:t>s</w:t>
      </w:r>
      <w:r w:rsidRPr="00D12BC3">
        <w:rPr>
          <w:color w:val="auto"/>
          <w:sz w:val="22"/>
          <w:szCs w:val="22"/>
          <w:lang w:val="ru-RU"/>
        </w:rPr>
        <w:t>)</w:t>
      </w:r>
      <w:r w:rsidR="000F3507" w:rsidRPr="00124FF7">
        <w:rPr>
          <w:color w:val="auto"/>
          <w:sz w:val="22"/>
          <w:szCs w:val="22"/>
          <w:lang w:val="uk-UA"/>
        </w:rPr>
        <w:t>, а також консультативних семінарів зі стратегії на 2026-2030 роки.</w:t>
      </w:r>
    </w:p>
    <w:p w14:paraId="7B7BA282" w14:textId="7E28318B" w:rsidR="00C22AD5" w:rsidRPr="00124FF7" w:rsidRDefault="002617C7" w:rsidP="002617C7">
      <w:pPr>
        <w:pStyle w:val="Default"/>
        <w:numPr>
          <w:ilvl w:val="0"/>
          <w:numId w:val="1"/>
        </w:numPr>
        <w:spacing w:after="58"/>
        <w:jc w:val="both"/>
        <w:rPr>
          <w:color w:val="auto"/>
          <w:sz w:val="22"/>
          <w:szCs w:val="22"/>
          <w:lang w:val="uk-UA"/>
        </w:rPr>
      </w:pPr>
      <w:r w:rsidRPr="00124FF7">
        <w:rPr>
          <w:color w:val="auto"/>
          <w:sz w:val="22"/>
          <w:szCs w:val="22"/>
          <w:lang w:val="uk-UA"/>
        </w:rPr>
        <w:t xml:space="preserve">Наставництво та підтримка </w:t>
      </w:r>
      <w:r w:rsidR="00B21CD9">
        <w:rPr>
          <w:color w:val="auto"/>
          <w:sz w:val="22"/>
          <w:szCs w:val="22"/>
          <w:lang w:val="uk-UA"/>
        </w:rPr>
        <w:t>менеджменту</w:t>
      </w:r>
      <w:r w:rsidRPr="00124FF7">
        <w:rPr>
          <w:color w:val="auto"/>
          <w:sz w:val="22"/>
          <w:szCs w:val="22"/>
          <w:lang w:val="uk-UA"/>
        </w:rPr>
        <w:t xml:space="preserve"> ТЧХУ протягом усього процесу стратегічного планування. </w:t>
      </w:r>
    </w:p>
    <w:p w14:paraId="2EC5A468" w14:textId="77777777" w:rsidR="002617C7" w:rsidRPr="00124FF7" w:rsidRDefault="002617C7" w:rsidP="002617C7">
      <w:pPr>
        <w:pStyle w:val="Default"/>
        <w:spacing w:after="58"/>
        <w:ind w:left="720"/>
        <w:jc w:val="both"/>
        <w:rPr>
          <w:color w:val="auto"/>
          <w:sz w:val="22"/>
          <w:szCs w:val="22"/>
          <w:lang w:val="uk-UA"/>
        </w:rPr>
      </w:pPr>
    </w:p>
    <w:p w14:paraId="237F03E8" w14:textId="6A432F1B" w:rsidR="00C22AD5" w:rsidRPr="00124FF7" w:rsidRDefault="00C22AD5" w:rsidP="001F62C8">
      <w:pPr>
        <w:rPr>
          <w:rFonts w:ascii="Calibri" w:hAnsi="Calibri" w:cs="Calibri"/>
          <w:b/>
          <w:bCs/>
          <w:sz w:val="24"/>
          <w:szCs w:val="24"/>
          <w:u w:val="single"/>
          <w:lang w:val="uk-UA"/>
        </w:rPr>
      </w:pPr>
      <w:r w:rsidRPr="00124FF7">
        <w:rPr>
          <w:rFonts w:ascii="Calibri" w:hAnsi="Calibri" w:cs="Calibri"/>
          <w:b/>
          <w:bCs/>
          <w:sz w:val="24"/>
          <w:szCs w:val="24"/>
          <w:u w:val="single"/>
          <w:lang w:val="uk-UA"/>
        </w:rPr>
        <w:lastRenderedPageBreak/>
        <w:t>Обсяг робіт</w:t>
      </w:r>
    </w:p>
    <w:p w14:paraId="58E43D3B" w14:textId="22C2D0A6" w:rsidR="00DB00B0" w:rsidRPr="00124FF7" w:rsidRDefault="00310104" w:rsidP="00DB00B0">
      <w:pPr>
        <w:pStyle w:val="Default"/>
        <w:spacing w:after="58"/>
        <w:jc w:val="both"/>
        <w:rPr>
          <w:color w:val="auto"/>
          <w:sz w:val="22"/>
          <w:szCs w:val="22"/>
          <w:lang w:val="uk-UA"/>
        </w:rPr>
      </w:pPr>
      <w:r>
        <w:rPr>
          <w:color w:val="auto"/>
          <w:sz w:val="22"/>
          <w:szCs w:val="22"/>
          <w:lang w:val="uk-UA"/>
        </w:rPr>
        <w:t>Завдання</w:t>
      </w:r>
      <w:r w:rsidR="00DB00B0" w:rsidRPr="00124FF7">
        <w:rPr>
          <w:color w:val="auto"/>
          <w:sz w:val="22"/>
          <w:szCs w:val="22"/>
          <w:lang w:val="uk-UA"/>
        </w:rPr>
        <w:t xml:space="preserve"> охоплюватиме, але не обмежуватиметься, наступними за</w:t>
      </w:r>
      <w:r w:rsidR="00FD4DC2">
        <w:rPr>
          <w:color w:val="auto"/>
          <w:sz w:val="22"/>
          <w:szCs w:val="22"/>
          <w:lang w:val="uk-UA"/>
        </w:rPr>
        <w:t>дачами</w:t>
      </w:r>
      <w:r w:rsidR="00DB00B0" w:rsidRPr="00124FF7">
        <w:rPr>
          <w:color w:val="auto"/>
          <w:sz w:val="22"/>
          <w:szCs w:val="22"/>
          <w:lang w:val="uk-UA"/>
        </w:rPr>
        <w:t>:</w:t>
      </w:r>
    </w:p>
    <w:p w14:paraId="55396444" w14:textId="033CB1D9" w:rsidR="00784C1E" w:rsidRPr="00124FF7" w:rsidRDefault="007D65CE" w:rsidP="00DB00B0">
      <w:pPr>
        <w:pStyle w:val="Default"/>
        <w:numPr>
          <w:ilvl w:val="0"/>
          <w:numId w:val="13"/>
        </w:numPr>
        <w:spacing w:after="58"/>
        <w:jc w:val="both"/>
        <w:rPr>
          <w:color w:val="auto"/>
          <w:sz w:val="22"/>
          <w:szCs w:val="22"/>
          <w:lang w:val="uk-UA"/>
        </w:rPr>
      </w:pPr>
      <w:r>
        <w:rPr>
          <w:b/>
          <w:bCs/>
          <w:color w:val="auto"/>
          <w:sz w:val="22"/>
          <w:szCs w:val="22"/>
          <w:lang w:val="uk-UA"/>
        </w:rPr>
        <w:t>Огляд</w:t>
      </w:r>
      <w:r w:rsidR="00DB00B0" w:rsidRPr="00124FF7">
        <w:rPr>
          <w:b/>
          <w:bCs/>
          <w:color w:val="auto"/>
          <w:sz w:val="22"/>
          <w:szCs w:val="22"/>
          <w:lang w:val="uk-UA"/>
        </w:rPr>
        <w:t xml:space="preserve"> документів</w:t>
      </w:r>
      <w:r w:rsidR="00DB00B0" w:rsidRPr="00124FF7">
        <w:rPr>
          <w:color w:val="auto"/>
          <w:sz w:val="22"/>
          <w:szCs w:val="22"/>
          <w:lang w:val="uk-UA"/>
        </w:rPr>
        <w:t xml:space="preserve">: </w:t>
      </w:r>
    </w:p>
    <w:p w14:paraId="470DF060" w14:textId="242917A0" w:rsidR="00DB00B0" w:rsidRPr="00124FF7" w:rsidRDefault="00DB00B0" w:rsidP="00784C1E">
      <w:pPr>
        <w:pStyle w:val="Default"/>
        <w:numPr>
          <w:ilvl w:val="1"/>
          <w:numId w:val="13"/>
        </w:numPr>
        <w:spacing w:after="58"/>
        <w:jc w:val="both"/>
        <w:rPr>
          <w:color w:val="auto"/>
          <w:sz w:val="22"/>
          <w:szCs w:val="22"/>
          <w:lang w:val="uk-UA"/>
        </w:rPr>
      </w:pPr>
      <w:r w:rsidRPr="00124FF7">
        <w:rPr>
          <w:color w:val="auto"/>
          <w:sz w:val="22"/>
          <w:szCs w:val="22"/>
          <w:lang w:val="uk-UA"/>
        </w:rPr>
        <w:t>Ознайом</w:t>
      </w:r>
      <w:r w:rsidR="007D65CE">
        <w:rPr>
          <w:color w:val="auto"/>
          <w:sz w:val="22"/>
          <w:szCs w:val="22"/>
          <w:lang w:val="uk-UA"/>
        </w:rPr>
        <w:t>итись</w:t>
      </w:r>
      <w:r w:rsidRPr="00124FF7">
        <w:rPr>
          <w:color w:val="auto"/>
          <w:sz w:val="22"/>
          <w:szCs w:val="22"/>
          <w:lang w:val="uk-UA"/>
        </w:rPr>
        <w:t xml:space="preserve"> з відповідними документами </w:t>
      </w:r>
      <w:r w:rsidR="00124FF7">
        <w:rPr>
          <w:color w:val="auto"/>
          <w:sz w:val="22"/>
          <w:szCs w:val="22"/>
          <w:lang w:val="uk-UA"/>
        </w:rPr>
        <w:t>ТЧХУ</w:t>
      </w:r>
      <w:r w:rsidRPr="00124FF7">
        <w:rPr>
          <w:color w:val="auto"/>
          <w:sz w:val="22"/>
          <w:szCs w:val="22"/>
          <w:lang w:val="uk-UA"/>
        </w:rPr>
        <w:t xml:space="preserve">, включаючи правові та законодавчі, попередні стратегії, оперативні плани, організаційні </w:t>
      </w:r>
      <w:r w:rsidR="00937AB3" w:rsidRPr="00124FF7">
        <w:rPr>
          <w:color w:val="auto"/>
          <w:sz w:val="22"/>
          <w:szCs w:val="22"/>
          <w:lang w:val="uk-UA"/>
        </w:rPr>
        <w:t>(OCAC та BOCA)</w:t>
      </w:r>
      <w:r w:rsidR="00937AB3">
        <w:rPr>
          <w:color w:val="auto"/>
          <w:sz w:val="22"/>
          <w:szCs w:val="22"/>
          <w:lang w:val="uk-UA"/>
        </w:rPr>
        <w:t xml:space="preserve"> та інші </w:t>
      </w:r>
      <w:r w:rsidRPr="00124FF7">
        <w:rPr>
          <w:color w:val="auto"/>
          <w:sz w:val="22"/>
          <w:szCs w:val="22"/>
          <w:lang w:val="uk-UA"/>
        </w:rPr>
        <w:t xml:space="preserve">оцінки, </w:t>
      </w:r>
      <w:r w:rsidR="00910447">
        <w:rPr>
          <w:color w:val="auto"/>
          <w:sz w:val="22"/>
          <w:szCs w:val="22"/>
          <w:lang w:val="uk-UA"/>
        </w:rPr>
        <w:t>політики і процедури</w:t>
      </w:r>
      <w:r w:rsidRPr="00124FF7">
        <w:rPr>
          <w:color w:val="auto"/>
          <w:sz w:val="22"/>
          <w:szCs w:val="22"/>
          <w:lang w:val="uk-UA"/>
        </w:rPr>
        <w:t>, звіти та публікації. Це також включатиме огляд мета-аналізів програм, відгуки від філій та департаментів, приклади стратегічних планів обраних національних товариств-партнерів та ключові документи, такі як Стратегія ТЧХУ на 2021-2025 роки, Єдиний план</w:t>
      </w:r>
      <w:r w:rsidR="004F332D">
        <w:rPr>
          <w:color w:val="auto"/>
          <w:sz w:val="22"/>
          <w:szCs w:val="22"/>
          <w:lang w:val="uk-UA"/>
        </w:rPr>
        <w:t xml:space="preserve"> (</w:t>
      </w:r>
      <w:r w:rsidR="004F332D">
        <w:rPr>
          <w:color w:val="auto"/>
          <w:sz w:val="22"/>
          <w:szCs w:val="22"/>
        </w:rPr>
        <w:t>One</w:t>
      </w:r>
      <w:r w:rsidR="004F332D" w:rsidRPr="00302F3D">
        <w:rPr>
          <w:color w:val="auto"/>
          <w:sz w:val="22"/>
          <w:szCs w:val="22"/>
          <w:lang w:val="uk-UA"/>
        </w:rPr>
        <w:t xml:space="preserve"> </w:t>
      </w:r>
      <w:r w:rsidR="004F332D">
        <w:rPr>
          <w:color w:val="auto"/>
          <w:sz w:val="22"/>
          <w:szCs w:val="22"/>
        </w:rPr>
        <w:t>Plan</w:t>
      </w:r>
      <w:r w:rsidR="004F332D" w:rsidRPr="00302F3D">
        <w:rPr>
          <w:color w:val="auto"/>
          <w:sz w:val="22"/>
          <w:szCs w:val="22"/>
          <w:lang w:val="uk-UA"/>
        </w:rPr>
        <w:t>)</w:t>
      </w:r>
      <w:r w:rsidRPr="00124FF7">
        <w:rPr>
          <w:color w:val="auto"/>
          <w:sz w:val="22"/>
          <w:szCs w:val="22"/>
          <w:lang w:val="uk-UA"/>
        </w:rPr>
        <w:t xml:space="preserve"> ТЧХУ на 2023 – 2025 роки, Стратегія МФЧХ</w:t>
      </w:r>
      <w:r w:rsidR="00BC4F1C" w:rsidRPr="00BC4F1C">
        <w:rPr>
          <w:color w:val="auto"/>
          <w:sz w:val="22"/>
          <w:szCs w:val="22"/>
          <w:lang w:val="uk-UA"/>
        </w:rPr>
        <w:t xml:space="preserve"> (</w:t>
      </w:r>
      <w:r w:rsidR="00BC4F1C">
        <w:rPr>
          <w:color w:val="auto"/>
          <w:sz w:val="22"/>
          <w:szCs w:val="22"/>
          <w:lang w:val="uk-UA"/>
        </w:rPr>
        <w:t>Міжнародна Федерація Червоного Хреста)</w:t>
      </w:r>
      <w:r w:rsidRPr="00124FF7">
        <w:rPr>
          <w:color w:val="auto"/>
          <w:sz w:val="22"/>
          <w:szCs w:val="22"/>
          <w:lang w:val="uk-UA"/>
        </w:rPr>
        <w:t xml:space="preserve"> до 2030 року та Цілі </w:t>
      </w:r>
      <w:r w:rsidR="00302F3D">
        <w:rPr>
          <w:color w:val="auto"/>
          <w:sz w:val="22"/>
          <w:szCs w:val="22"/>
          <w:lang w:val="uk-UA"/>
        </w:rPr>
        <w:t>С</w:t>
      </w:r>
      <w:r w:rsidRPr="00124FF7">
        <w:rPr>
          <w:color w:val="auto"/>
          <w:sz w:val="22"/>
          <w:szCs w:val="22"/>
          <w:lang w:val="uk-UA"/>
        </w:rPr>
        <w:t xml:space="preserve">талого </w:t>
      </w:r>
      <w:r w:rsidR="00302F3D">
        <w:rPr>
          <w:color w:val="auto"/>
          <w:sz w:val="22"/>
          <w:szCs w:val="22"/>
          <w:lang w:val="uk-UA"/>
        </w:rPr>
        <w:t>Р</w:t>
      </w:r>
      <w:r w:rsidRPr="00124FF7">
        <w:rPr>
          <w:color w:val="auto"/>
          <w:sz w:val="22"/>
          <w:szCs w:val="22"/>
          <w:lang w:val="uk-UA"/>
        </w:rPr>
        <w:t>озвитку (</w:t>
      </w:r>
      <w:r w:rsidR="00302F3D">
        <w:rPr>
          <w:color w:val="auto"/>
          <w:sz w:val="22"/>
          <w:szCs w:val="22"/>
        </w:rPr>
        <w:t>SDGs</w:t>
      </w:r>
      <w:r w:rsidRPr="00124FF7">
        <w:rPr>
          <w:color w:val="auto"/>
          <w:sz w:val="22"/>
          <w:szCs w:val="22"/>
          <w:lang w:val="uk-UA"/>
        </w:rPr>
        <w:t>).</w:t>
      </w:r>
    </w:p>
    <w:p w14:paraId="7CCB7AF2" w14:textId="5526ED17" w:rsidR="00DB00B0" w:rsidRPr="00124FF7" w:rsidRDefault="00F0150A" w:rsidP="00784C1E">
      <w:pPr>
        <w:pStyle w:val="Default"/>
        <w:numPr>
          <w:ilvl w:val="1"/>
          <w:numId w:val="13"/>
        </w:numPr>
        <w:spacing w:after="58"/>
        <w:jc w:val="both"/>
        <w:rPr>
          <w:color w:val="auto"/>
          <w:sz w:val="22"/>
          <w:szCs w:val="22"/>
          <w:lang w:val="uk-UA"/>
        </w:rPr>
      </w:pPr>
      <w:r>
        <w:rPr>
          <w:color w:val="auto"/>
          <w:sz w:val="22"/>
          <w:szCs w:val="22"/>
          <w:lang w:val="uk-UA"/>
        </w:rPr>
        <w:t xml:space="preserve">Ознайомитись з </w:t>
      </w:r>
      <w:r w:rsidR="00BB23EA">
        <w:rPr>
          <w:color w:val="auto"/>
          <w:sz w:val="22"/>
          <w:szCs w:val="22"/>
          <w:lang w:val="uk-UA"/>
        </w:rPr>
        <w:t>висновк</w:t>
      </w:r>
      <w:r>
        <w:rPr>
          <w:color w:val="auto"/>
          <w:sz w:val="22"/>
          <w:szCs w:val="22"/>
          <w:lang w:val="uk-UA"/>
        </w:rPr>
        <w:t>ами</w:t>
      </w:r>
      <w:r w:rsidR="00BB23EA">
        <w:rPr>
          <w:color w:val="auto"/>
          <w:sz w:val="22"/>
          <w:szCs w:val="22"/>
          <w:lang w:val="uk-UA"/>
        </w:rPr>
        <w:t xml:space="preserve"> і головн</w:t>
      </w:r>
      <w:r>
        <w:rPr>
          <w:color w:val="auto"/>
          <w:sz w:val="22"/>
          <w:szCs w:val="22"/>
          <w:lang w:val="uk-UA"/>
        </w:rPr>
        <w:t>ими</w:t>
      </w:r>
      <w:r w:rsidR="00BB23EA">
        <w:rPr>
          <w:color w:val="auto"/>
          <w:sz w:val="22"/>
          <w:szCs w:val="22"/>
          <w:lang w:val="uk-UA"/>
        </w:rPr>
        <w:t xml:space="preserve"> іде</w:t>
      </w:r>
      <w:r>
        <w:rPr>
          <w:color w:val="auto"/>
          <w:sz w:val="22"/>
          <w:szCs w:val="22"/>
          <w:lang w:val="uk-UA"/>
        </w:rPr>
        <w:t>ями</w:t>
      </w:r>
      <w:r w:rsidR="00BB23EA">
        <w:rPr>
          <w:color w:val="auto"/>
          <w:sz w:val="22"/>
          <w:szCs w:val="22"/>
          <w:lang w:val="uk-UA"/>
        </w:rPr>
        <w:t xml:space="preserve"> </w:t>
      </w:r>
      <w:r w:rsidR="00DB00B0" w:rsidRPr="00124FF7">
        <w:rPr>
          <w:color w:val="auto"/>
          <w:sz w:val="22"/>
          <w:szCs w:val="22"/>
          <w:lang w:val="uk-UA"/>
        </w:rPr>
        <w:t>зі стратегічних діалогів, досліджень та опитувань за участю вищого керівництва, філій, програмного персоналу, партнерів Руху, окремих донорів та інших зацікавлених сторін.</w:t>
      </w:r>
    </w:p>
    <w:p w14:paraId="2538A195" w14:textId="4619EDB6" w:rsidR="00DB00B0" w:rsidRPr="00124FF7" w:rsidRDefault="00DB00B0" w:rsidP="00DB00B0">
      <w:pPr>
        <w:pStyle w:val="Default"/>
        <w:numPr>
          <w:ilvl w:val="0"/>
          <w:numId w:val="13"/>
        </w:numPr>
        <w:spacing w:after="58"/>
        <w:jc w:val="both"/>
        <w:rPr>
          <w:color w:val="auto"/>
          <w:sz w:val="22"/>
          <w:szCs w:val="22"/>
          <w:lang w:val="uk-UA"/>
        </w:rPr>
      </w:pPr>
      <w:r w:rsidRPr="00124FF7">
        <w:rPr>
          <w:b/>
          <w:bCs/>
          <w:color w:val="auto"/>
          <w:sz w:val="22"/>
          <w:szCs w:val="22"/>
          <w:lang w:val="uk-UA"/>
        </w:rPr>
        <w:t>Узгодження бачення та місії</w:t>
      </w:r>
      <w:r w:rsidRPr="00124FF7">
        <w:rPr>
          <w:color w:val="auto"/>
          <w:sz w:val="22"/>
          <w:szCs w:val="22"/>
          <w:lang w:val="uk-UA"/>
        </w:rPr>
        <w:t>: Допом</w:t>
      </w:r>
      <w:r w:rsidR="000C239D">
        <w:rPr>
          <w:color w:val="auto"/>
          <w:sz w:val="22"/>
          <w:szCs w:val="22"/>
          <w:lang w:val="uk-UA"/>
        </w:rPr>
        <w:t>ог</w:t>
      </w:r>
      <w:r w:rsidRPr="00124FF7">
        <w:rPr>
          <w:color w:val="auto"/>
          <w:sz w:val="22"/>
          <w:szCs w:val="22"/>
          <w:lang w:val="uk-UA"/>
        </w:rPr>
        <w:t xml:space="preserve">ти ТЧХУ переглянути своє бачення, місію, цінності та цілі, узгоджуючи їх з сучасними тенденціями стратегічних бізнес-моделей та розвитку </w:t>
      </w:r>
      <w:r w:rsidR="0028134B">
        <w:rPr>
          <w:color w:val="auto"/>
          <w:sz w:val="22"/>
          <w:szCs w:val="22"/>
          <w:lang w:val="uk-UA"/>
        </w:rPr>
        <w:t>д</w:t>
      </w:r>
      <w:r w:rsidRPr="00124FF7">
        <w:rPr>
          <w:color w:val="auto"/>
          <w:sz w:val="22"/>
          <w:szCs w:val="22"/>
          <w:lang w:val="uk-UA"/>
        </w:rPr>
        <w:t>опоміжних ролей, враховуючи майбутні сценарії.</w:t>
      </w:r>
    </w:p>
    <w:p w14:paraId="089B9ACA" w14:textId="736C69DA" w:rsidR="00DB00B0" w:rsidRPr="00124FF7" w:rsidRDefault="661AD5D8" w:rsidP="00DB00B0">
      <w:pPr>
        <w:pStyle w:val="Default"/>
        <w:numPr>
          <w:ilvl w:val="0"/>
          <w:numId w:val="13"/>
        </w:numPr>
        <w:spacing w:after="58"/>
        <w:jc w:val="both"/>
        <w:rPr>
          <w:color w:val="auto"/>
          <w:sz w:val="22"/>
          <w:szCs w:val="22"/>
          <w:lang w:val="uk-UA"/>
        </w:rPr>
      </w:pPr>
      <w:r w:rsidRPr="00124FF7">
        <w:rPr>
          <w:b/>
          <w:bCs/>
          <w:color w:val="auto"/>
          <w:sz w:val="22"/>
          <w:szCs w:val="22"/>
          <w:lang w:val="uk-UA"/>
        </w:rPr>
        <w:t>Підтримка розвитку стратегії</w:t>
      </w:r>
      <w:r w:rsidRPr="00124FF7">
        <w:rPr>
          <w:color w:val="auto"/>
          <w:sz w:val="22"/>
          <w:szCs w:val="22"/>
          <w:lang w:val="uk-UA"/>
        </w:rPr>
        <w:t>: Сприя</w:t>
      </w:r>
      <w:r w:rsidR="00784D3D">
        <w:rPr>
          <w:color w:val="auto"/>
          <w:sz w:val="22"/>
          <w:szCs w:val="22"/>
          <w:lang w:val="uk-UA"/>
        </w:rPr>
        <w:t>ти</w:t>
      </w:r>
      <w:r w:rsidRPr="00124FF7">
        <w:rPr>
          <w:color w:val="auto"/>
          <w:sz w:val="22"/>
          <w:szCs w:val="22"/>
          <w:lang w:val="uk-UA"/>
        </w:rPr>
        <w:t xml:space="preserve"> необхідним процесам для розробки Стратегічного плану на 2026-2030 роки, включаючи </w:t>
      </w:r>
      <w:r w:rsidR="00FF61D4">
        <w:rPr>
          <w:color w:val="auto"/>
          <w:sz w:val="22"/>
          <w:szCs w:val="22"/>
        </w:rPr>
        <w:t>Future</w:t>
      </w:r>
      <w:r w:rsidR="00FF61D4" w:rsidRPr="00FF61D4">
        <w:rPr>
          <w:color w:val="auto"/>
          <w:sz w:val="22"/>
          <w:szCs w:val="22"/>
          <w:lang w:val="ru-RU"/>
        </w:rPr>
        <w:t xml:space="preserve"> </w:t>
      </w:r>
      <w:r w:rsidR="00FF61D4">
        <w:rPr>
          <w:color w:val="auto"/>
          <w:sz w:val="22"/>
          <w:szCs w:val="22"/>
        </w:rPr>
        <w:t>and</w:t>
      </w:r>
      <w:r w:rsidR="00FF61D4" w:rsidRPr="00FF61D4">
        <w:rPr>
          <w:color w:val="auto"/>
          <w:sz w:val="22"/>
          <w:szCs w:val="22"/>
          <w:lang w:val="ru-RU"/>
        </w:rPr>
        <w:t xml:space="preserve"> </w:t>
      </w:r>
      <w:r w:rsidR="00FF61D4">
        <w:rPr>
          <w:color w:val="auto"/>
          <w:sz w:val="22"/>
          <w:szCs w:val="22"/>
        </w:rPr>
        <w:t>Foresight</w:t>
      </w:r>
      <w:r w:rsidRPr="00124FF7">
        <w:rPr>
          <w:color w:val="auto"/>
          <w:sz w:val="22"/>
          <w:szCs w:val="22"/>
          <w:lang w:val="uk-UA"/>
        </w:rPr>
        <w:t xml:space="preserve"> вправи, консультації, а також стратегічні семінари та обговорення.</w:t>
      </w:r>
    </w:p>
    <w:p w14:paraId="548DD9B3" w14:textId="13F942BF" w:rsidR="00DB00B0" w:rsidRPr="00124FF7" w:rsidRDefault="00DB00B0" w:rsidP="00DB00B0">
      <w:pPr>
        <w:pStyle w:val="Default"/>
        <w:numPr>
          <w:ilvl w:val="0"/>
          <w:numId w:val="13"/>
        </w:numPr>
        <w:spacing w:after="58"/>
        <w:jc w:val="both"/>
        <w:rPr>
          <w:color w:val="auto"/>
          <w:sz w:val="22"/>
          <w:szCs w:val="22"/>
          <w:lang w:val="uk-UA"/>
        </w:rPr>
      </w:pPr>
      <w:r w:rsidRPr="00124FF7">
        <w:rPr>
          <w:b/>
          <w:bCs/>
          <w:color w:val="auto"/>
          <w:sz w:val="22"/>
          <w:szCs w:val="22"/>
          <w:lang w:val="uk-UA"/>
        </w:rPr>
        <w:t>Розбудова потенціалу</w:t>
      </w:r>
      <w:r w:rsidRPr="00124FF7">
        <w:rPr>
          <w:color w:val="auto"/>
          <w:sz w:val="22"/>
          <w:szCs w:val="22"/>
          <w:lang w:val="uk-UA"/>
        </w:rPr>
        <w:t>: Посил</w:t>
      </w:r>
      <w:r w:rsidR="00685DC0">
        <w:rPr>
          <w:color w:val="auto"/>
          <w:sz w:val="22"/>
          <w:szCs w:val="22"/>
          <w:lang w:val="uk-UA"/>
        </w:rPr>
        <w:t>ити</w:t>
      </w:r>
      <w:r w:rsidRPr="00124FF7">
        <w:rPr>
          <w:color w:val="auto"/>
          <w:sz w:val="22"/>
          <w:szCs w:val="22"/>
          <w:lang w:val="uk-UA"/>
        </w:rPr>
        <w:t xml:space="preserve"> потенціал ТЧХУ у стратегічному плануванні та нада</w:t>
      </w:r>
      <w:r w:rsidR="00685DC0">
        <w:rPr>
          <w:color w:val="auto"/>
          <w:sz w:val="22"/>
          <w:szCs w:val="22"/>
          <w:lang w:val="uk-UA"/>
        </w:rPr>
        <w:t>ти</w:t>
      </w:r>
      <w:r w:rsidRPr="00124FF7">
        <w:rPr>
          <w:color w:val="auto"/>
          <w:sz w:val="22"/>
          <w:szCs w:val="22"/>
          <w:lang w:val="uk-UA"/>
        </w:rPr>
        <w:t xml:space="preserve"> рекомендаці</w:t>
      </w:r>
      <w:r w:rsidR="00685DC0">
        <w:rPr>
          <w:color w:val="auto"/>
          <w:sz w:val="22"/>
          <w:szCs w:val="22"/>
          <w:lang w:val="uk-UA"/>
        </w:rPr>
        <w:t>ї</w:t>
      </w:r>
      <w:r w:rsidRPr="00124FF7">
        <w:rPr>
          <w:color w:val="auto"/>
          <w:sz w:val="22"/>
          <w:szCs w:val="22"/>
          <w:lang w:val="uk-UA"/>
        </w:rPr>
        <w:t xml:space="preserve"> щодо ефективного виконання стратегії.</w:t>
      </w:r>
    </w:p>
    <w:p w14:paraId="60E58935" w14:textId="301DE706" w:rsidR="00DB00B0" w:rsidRPr="00124FF7" w:rsidRDefault="00DB00B0" w:rsidP="00DB00B0">
      <w:pPr>
        <w:pStyle w:val="Default"/>
        <w:numPr>
          <w:ilvl w:val="0"/>
          <w:numId w:val="13"/>
        </w:numPr>
        <w:spacing w:after="58"/>
        <w:jc w:val="both"/>
        <w:rPr>
          <w:color w:val="auto"/>
          <w:sz w:val="22"/>
          <w:szCs w:val="22"/>
          <w:lang w:val="uk-UA"/>
        </w:rPr>
      </w:pPr>
      <w:r w:rsidRPr="00124FF7">
        <w:rPr>
          <w:b/>
          <w:bCs/>
          <w:color w:val="auto"/>
          <w:sz w:val="22"/>
          <w:szCs w:val="22"/>
          <w:lang w:val="uk-UA"/>
        </w:rPr>
        <w:t>Співпраця</w:t>
      </w:r>
      <w:r w:rsidRPr="00124FF7">
        <w:rPr>
          <w:color w:val="auto"/>
          <w:sz w:val="22"/>
          <w:szCs w:val="22"/>
          <w:lang w:val="uk-UA"/>
        </w:rPr>
        <w:t>: Тісно співпрацю</w:t>
      </w:r>
      <w:r w:rsidR="00C4392D">
        <w:rPr>
          <w:color w:val="auto"/>
          <w:sz w:val="22"/>
          <w:szCs w:val="22"/>
          <w:lang w:val="uk-UA"/>
        </w:rPr>
        <w:t>вати</w:t>
      </w:r>
      <w:r w:rsidRPr="00124FF7">
        <w:rPr>
          <w:color w:val="auto"/>
          <w:sz w:val="22"/>
          <w:szCs w:val="22"/>
          <w:lang w:val="uk-UA"/>
        </w:rPr>
        <w:t xml:space="preserve"> з керівниками </w:t>
      </w:r>
      <w:r w:rsidR="00C669ED">
        <w:rPr>
          <w:color w:val="auto"/>
          <w:sz w:val="22"/>
          <w:szCs w:val="22"/>
          <w:lang w:val="uk-UA"/>
        </w:rPr>
        <w:t xml:space="preserve">департаментів / </w:t>
      </w:r>
      <w:r w:rsidRPr="00124FF7">
        <w:rPr>
          <w:color w:val="auto"/>
          <w:sz w:val="22"/>
          <w:szCs w:val="22"/>
          <w:lang w:val="uk-UA"/>
        </w:rPr>
        <w:t xml:space="preserve">відділів та керівником Стратегічної робочої групи, щоб забезпечити узгодженість та </w:t>
      </w:r>
      <w:r w:rsidR="00D5765F">
        <w:rPr>
          <w:color w:val="auto"/>
          <w:sz w:val="22"/>
          <w:szCs w:val="22"/>
          <w:lang w:val="uk-UA"/>
        </w:rPr>
        <w:t>послідовність</w:t>
      </w:r>
      <w:r w:rsidRPr="00124FF7">
        <w:rPr>
          <w:color w:val="auto"/>
          <w:sz w:val="22"/>
          <w:szCs w:val="22"/>
          <w:lang w:val="uk-UA"/>
        </w:rPr>
        <w:t>.</w:t>
      </w:r>
    </w:p>
    <w:p w14:paraId="52930F83" w14:textId="1D9CF8AB" w:rsidR="00493DCB" w:rsidRPr="00124FF7" w:rsidRDefault="00493DCB" w:rsidP="00493DCB">
      <w:pPr>
        <w:pStyle w:val="Default"/>
        <w:numPr>
          <w:ilvl w:val="0"/>
          <w:numId w:val="13"/>
        </w:numPr>
        <w:spacing w:after="58"/>
        <w:jc w:val="both"/>
        <w:rPr>
          <w:color w:val="auto"/>
          <w:sz w:val="22"/>
          <w:szCs w:val="22"/>
          <w:lang w:val="uk-UA"/>
        </w:rPr>
      </w:pPr>
      <w:r w:rsidRPr="00124FF7">
        <w:rPr>
          <w:b/>
          <w:bCs/>
          <w:color w:val="auto"/>
          <w:sz w:val="22"/>
          <w:szCs w:val="22"/>
          <w:lang w:val="uk-UA"/>
        </w:rPr>
        <w:t>Фасилітація семінар</w:t>
      </w:r>
      <w:r>
        <w:rPr>
          <w:b/>
          <w:bCs/>
          <w:color w:val="auto"/>
          <w:sz w:val="22"/>
          <w:szCs w:val="22"/>
          <w:lang w:val="uk-UA"/>
        </w:rPr>
        <w:t>ів</w:t>
      </w:r>
      <w:r w:rsidR="00021892">
        <w:rPr>
          <w:b/>
          <w:bCs/>
          <w:color w:val="auto"/>
          <w:sz w:val="22"/>
          <w:szCs w:val="22"/>
          <w:lang w:val="uk-UA"/>
        </w:rPr>
        <w:t xml:space="preserve"> / заходів</w:t>
      </w:r>
      <w:r w:rsidRPr="00124FF7">
        <w:rPr>
          <w:color w:val="auto"/>
          <w:sz w:val="22"/>
          <w:szCs w:val="22"/>
          <w:lang w:val="uk-UA"/>
        </w:rPr>
        <w:t xml:space="preserve">: </w:t>
      </w:r>
      <w:r w:rsidR="00021892">
        <w:rPr>
          <w:color w:val="auto"/>
          <w:sz w:val="22"/>
          <w:szCs w:val="22"/>
          <w:lang w:val="uk-UA"/>
        </w:rPr>
        <w:t>С</w:t>
      </w:r>
      <w:r w:rsidRPr="00124FF7">
        <w:rPr>
          <w:color w:val="auto"/>
          <w:sz w:val="22"/>
          <w:szCs w:val="22"/>
          <w:lang w:val="uk-UA"/>
        </w:rPr>
        <w:t>труктурува</w:t>
      </w:r>
      <w:r w:rsidR="00021892">
        <w:rPr>
          <w:color w:val="auto"/>
          <w:sz w:val="22"/>
          <w:szCs w:val="22"/>
          <w:lang w:val="uk-UA"/>
        </w:rPr>
        <w:t>ти</w:t>
      </w:r>
      <w:r w:rsidRPr="00124FF7">
        <w:rPr>
          <w:color w:val="auto"/>
          <w:sz w:val="22"/>
          <w:szCs w:val="22"/>
          <w:lang w:val="uk-UA"/>
        </w:rPr>
        <w:t xml:space="preserve"> та пров</w:t>
      </w:r>
      <w:r w:rsidR="00021892">
        <w:rPr>
          <w:color w:val="auto"/>
          <w:sz w:val="22"/>
          <w:szCs w:val="22"/>
          <w:lang w:val="uk-UA"/>
        </w:rPr>
        <w:t>одити</w:t>
      </w:r>
      <w:r w:rsidRPr="00124FF7">
        <w:rPr>
          <w:color w:val="auto"/>
          <w:sz w:val="22"/>
          <w:szCs w:val="22"/>
          <w:lang w:val="uk-UA"/>
        </w:rPr>
        <w:t xml:space="preserve"> консультаційн</w:t>
      </w:r>
      <w:r w:rsidR="00D552DA">
        <w:rPr>
          <w:color w:val="auto"/>
          <w:sz w:val="22"/>
          <w:szCs w:val="22"/>
          <w:lang w:val="uk-UA"/>
        </w:rPr>
        <w:t>і</w:t>
      </w:r>
      <w:r w:rsidRPr="00124FF7">
        <w:rPr>
          <w:color w:val="auto"/>
          <w:sz w:val="22"/>
          <w:szCs w:val="22"/>
          <w:lang w:val="uk-UA"/>
        </w:rPr>
        <w:t xml:space="preserve"> семінар</w:t>
      </w:r>
      <w:r w:rsidR="00021892">
        <w:rPr>
          <w:color w:val="auto"/>
          <w:sz w:val="22"/>
          <w:szCs w:val="22"/>
          <w:lang w:val="uk-UA"/>
        </w:rPr>
        <w:t>и</w:t>
      </w:r>
      <w:r w:rsidR="00BB3D7C">
        <w:rPr>
          <w:color w:val="auto"/>
          <w:sz w:val="22"/>
          <w:szCs w:val="22"/>
          <w:lang w:val="uk-UA"/>
        </w:rPr>
        <w:t>,</w:t>
      </w:r>
      <w:r w:rsidR="00021892">
        <w:rPr>
          <w:color w:val="auto"/>
          <w:sz w:val="22"/>
          <w:szCs w:val="22"/>
          <w:lang w:val="uk-UA"/>
        </w:rPr>
        <w:t xml:space="preserve"> заходи</w:t>
      </w:r>
      <w:r w:rsidRPr="00124FF7">
        <w:rPr>
          <w:color w:val="auto"/>
          <w:sz w:val="22"/>
          <w:szCs w:val="22"/>
          <w:lang w:val="uk-UA"/>
        </w:rPr>
        <w:t xml:space="preserve"> зі стратегічного планування та інших запропонованих </w:t>
      </w:r>
      <w:r w:rsidR="00BB3D7C">
        <w:rPr>
          <w:color w:val="auto"/>
          <w:sz w:val="22"/>
          <w:szCs w:val="22"/>
          <w:lang w:val="uk-UA"/>
        </w:rPr>
        <w:t>інтервенцій</w:t>
      </w:r>
      <w:r w:rsidR="0022320C">
        <w:rPr>
          <w:color w:val="auto"/>
          <w:sz w:val="22"/>
          <w:szCs w:val="22"/>
          <w:lang w:val="uk-UA"/>
        </w:rPr>
        <w:t xml:space="preserve">, </w:t>
      </w:r>
      <w:r w:rsidRPr="00124FF7">
        <w:rPr>
          <w:color w:val="auto"/>
          <w:sz w:val="22"/>
          <w:szCs w:val="22"/>
          <w:lang w:val="uk-UA"/>
        </w:rPr>
        <w:t>забезпеч</w:t>
      </w:r>
      <w:r w:rsidR="0077219D">
        <w:rPr>
          <w:color w:val="auto"/>
          <w:sz w:val="22"/>
          <w:szCs w:val="22"/>
          <w:lang w:val="uk-UA"/>
        </w:rPr>
        <w:t>у</w:t>
      </w:r>
      <w:r w:rsidR="0022320C">
        <w:rPr>
          <w:color w:val="auto"/>
          <w:sz w:val="22"/>
          <w:szCs w:val="22"/>
          <w:lang w:val="uk-UA"/>
        </w:rPr>
        <w:t>ючи</w:t>
      </w:r>
      <w:r w:rsidRPr="00124FF7">
        <w:rPr>
          <w:color w:val="auto"/>
          <w:sz w:val="22"/>
          <w:szCs w:val="22"/>
          <w:lang w:val="uk-UA"/>
        </w:rPr>
        <w:t xml:space="preserve"> необхідн</w:t>
      </w:r>
      <w:r w:rsidR="00BB3D7C">
        <w:rPr>
          <w:color w:val="auto"/>
          <w:sz w:val="22"/>
          <w:szCs w:val="22"/>
          <w:lang w:val="uk-UA"/>
        </w:rPr>
        <w:t>і</w:t>
      </w:r>
      <w:r w:rsidRPr="00124FF7">
        <w:rPr>
          <w:color w:val="auto"/>
          <w:sz w:val="22"/>
          <w:szCs w:val="22"/>
          <w:lang w:val="uk-UA"/>
        </w:rPr>
        <w:t xml:space="preserve"> в</w:t>
      </w:r>
      <w:r w:rsidR="00BB3D7C">
        <w:rPr>
          <w:color w:val="auto"/>
          <w:sz w:val="22"/>
          <w:szCs w:val="22"/>
          <w:lang w:val="uk-UA"/>
        </w:rPr>
        <w:t>хідні</w:t>
      </w:r>
      <w:r w:rsidRPr="00124FF7">
        <w:rPr>
          <w:color w:val="auto"/>
          <w:sz w:val="22"/>
          <w:szCs w:val="22"/>
          <w:lang w:val="uk-UA"/>
        </w:rPr>
        <w:t xml:space="preserve"> та підготовк</w:t>
      </w:r>
      <w:r w:rsidR="002B17E5">
        <w:rPr>
          <w:color w:val="auto"/>
          <w:sz w:val="22"/>
          <w:szCs w:val="22"/>
          <w:lang w:val="uk-UA"/>
        </w:rPr>
        <w:t>у</w:t>
      </w:r>
      <w:r w:rsidRPr="00124FF7">
        <w:rPr>
          <w:color w:val="auto"/>
          <w:sz w:val="22"/>
          <w:szCs w:val="22"/>
          <w:lang w:val="uk-UA"/>
        </w:rPr>
        <w:t>, всебічн</w:t>
      </w:r>
      <w:r w:rsidR="0022320C">
        <w:rPr>
          <w:color w:val="auto"/>
          <w:sz w:val="22"/>
          <w:szCs w:val="22"/>
          <w:lang w:val="uk-UA"/>
        </w:rPr>
        <w:t>е</w:t>
      </w:r>
      <w:r w:rsidRPr="00124FF7">
        <w:rPr>
          <w:color w:val="auto"/>
          <w:sz w:val="22"/>
          <w:szCs w:val="22"/>
          <w:lang w:val="uk-UA"/>
        </w:rPr>
        <w:t xml:space="preserve"> залуче</w:t>
      </w:r>
      <w:r w:rsidR="0022320C">
        <w:rPr>
          <w:color w:val="auto"/>
          <w:sz w:val="22"/>
          <w:szCs w:val="22"/>
          <w:lang w:val="uk-UA"/>
        </w:rPr>
        <w:t>ння</w:t>
      </w:r>
      <w:r w:rsidRPr="00124FF7">
        <w:rPr>
          <w:color w:val="auto"/>
          <w:sz w:val="22"/>
          <w:szCs w:val="22"/>
          <w:lang w:val="uk-UA"/>
        </w:rPr>
        <w:t xml:space="preserve"> та </w:t>
      </w:r>
      <w:r w:rsidR="00366AB1">
        <w:rPr>
          <w:color w:val="auto"/>
          <w:sz w:val="22"/>
          <w:szCs w:val="22"/>
          <w:lang w:val="uk-UA"/>
        </w:rPr>
        <w:t xml:space="preserve">досягнення </w:t>
      </w:r>
      <w:r w:rsidRPr="00124FF7">
        <w:rPr>
          <w:color w:val="auto"/>
          <w:sz w:val="22"/>
          <w:szCs w:val="22"/>
          <w:lang w:val="uk-UA"/>
        </w:rPr>
        <w:t xml:space="preserve">очікуваних результатів. </w:t>
      </w:r>
    </w:p>
    <w:p w14:paraId="60CDA6A5" w14:textId="00793DBB" w:rsidR="00DB00B0" w:rsidRPr="00124FF7" w:rsidRDefault="00DB00B0" w:rsidP="00DB00B0">
      <w:pPr>
        <w:pStyle w:val="Default"/>
        <w:numPr>
          <w:ilvl w:val="0"/>
          <w:numId w:val="13"/>
        </w:numPr>
        <w:spacing w:after="58"/>
        <w:jc w:val="both"/>
        <w:rPr>
          <w:color w:val="auto"/>
          <w:sz w:val="22"/>
          <w:szCs w:val="22"/>
          <w:lang w:val="uk-UA"/>
        </w:rPr>
      </w:pPr>
      <w:r w:rsidRPr="00124FF7">
        <w:rPr>
          <w:b/>
          <w:bCs/>
          <w:color w:val="auto"/>
          <w:sz w:val="22"/>
          <w:szCs w:val="22"/>
          <w:lang w:val="uk-UA"/>
        </w:rPr>
        <w:t>Документація</w:t>
      </w:r>
      <w:r w:rsidRPr="00124FF7">
        <w:rPr>
          <w:color w:val="auto"/>
          <w:sz w:val="22"/>
          <w:szCs w:val="22"/>
          <w:lang w:val="uk-UA"/>
        </w:rPr>
        <w:t>: Підго</w:t>
      </w:r>
      <w:r w:rsidR="005A2A9A">
        <w:rPr>
          <w:color w:val="auto"/>
          <w:sz w:val="22"/>
          <w:szCs w:val="22"/>
          <w:lang w:val="uk-UA"/>
        </w:rPr>
        <w:t>туват</w:t>
      </w:r>
      <w:r w:rsidR="00F926E8">
        <w:rPr>
          <w:color w:val="auto"/>
          <w:sz w:val="22"/>
          <w:szCs w:val="22"/>
          <w:lang w:val="uk-UA"/>
        </w:rPr>
        <w:t>и</w:t>
      </w:r>
      <w:r w:rsidRPr="00124FF7">
        <w:rPr>
          <w:color w:val="auto"/>
          <w:sz w:val="22"/>
          <w:szCs w:val="22"/>
          <w:lang w:val="uk-UA"/>
        </w:rPr>
        <w:t xml:space="preserve"> набір документів </w:t>
      </w:r>
      <w:r w:rsidR="007121FB">
        <w:rPr>
          <w:color w:val="auto"/>
          <w:sz w:val="22"/>
          <w:szCs w:val="22"/>
          <w:lang w:val="uk-UA"/>
        </w:rPr>
        <w:t>на основі</w:t>
      </w:r>
      <w:r w:rsidRPr="00124FF7">
        <w:rPr>
          <w:color w:val="auto"/>
          <w:sz w:val="22"/>
          <w:szCs w:val="22"/>
          <w:lang w:val="uk-UA"/>
        </w:rPr>
        <w:t xml:space="preserve"> </w:t>
      </w:r>
      <w:r w:rsidR="009B2451">
        <w:rPr>
          <w:color w:val="auto"/>
          <w:sz w:val="22"/>
          <w:szCs w:val="22"/>
          <w:lang w:val="uk-UA"/>
        </w:rPr>
        <w:t>вище озвученої діяльності</w:t>
      </w:r>
      <w:r w:rsidRPr="00124FF7">
        <w:rPr>
          <w:color w:val="auto"/>
          <w:sz w:val="22"/>
          <w:szCs w:val="22"/>
          <w:lang w:val="uk-UA"/>
        </w:rPr>
        <w:t>, які стануть основою для складання Стратегічного плану.</w:t>
      </w:r>
    </w:p>
    <w:p w14:paraId="4C7EF377" w14:textId="00C8488C" w:rsidR="00DB00B0" w:rsidRPr="00124FF7" w:rsidRDefault="00DB00B0" w:rsidP="00DB00B0">
      <w:pPr>
        <w:pStyle w:val="Default"/>
        <w:numPr>
          <w:ilvl w:val="0"/>
          <w:numId w:val="13"/>
        </w:numPr>
        <w:spacing w:after="58"/>
        <w:jc w:val="both"/>
        <w:rPr>
          <w:color w:val="auto"/>
          <w:sz w:val="22"/>
          <w:szCs w:val="22"/>
          <w:lang w:val="uk-UA"/>
        </w:rPr>
      </w:pPr>
      <w:r w:rsidRPr="00124FF7">
        <w:rPr>
          <w:b/>
          <w:bCs/>
          <w:color w:val="auto"/>
          <w:sz w:val="22"/>
          <w:szCs w:val="22"/>
          <w:lang w:val="uk-UA"/>
        </w:rPr>
        <w:t>Забезпечення якості</w:t>
      </w:r>
      <w:r w:rsidRPr="00124FF7">
        <w:rPr>
          <w:color w:val="auto"/>
          <w:sz w:val="22"/>
          <w:szCs w:val="22"/>
          <w:lang w:val="uk-UA"/>
        </w:rPr>
        <w:t>: Періодично переглядат</w:t>
      </w:r>
      <w:r w:rsidR="009B2451">
        <w:rPr>
          <w:color w:val="auto"/>
          <w:sz w:val="22"/>
          <w:szCs w:val="22"/>
          <w:lang w:val="uk-UA"/>
        </w:rPr>
        <w:t>и</w:t>
      </w:r>
      <w:r w:rsidRPr="00124FF7">
        <w:rPr>
          <w:color w:val="auto"/>
          <w:sz w:val="22"/>
          <w:szCs w:val="22"/>
          <w:lang w:val="uk-UA"/>
        </w:rPr>
        <w:t xml:space="preserve"> вихідні </w:t>
      </w:r>
      <w:r w:rsidR="004E4808">
        <w:rPr>
          <w:color w:val="auto"/>
          <w:sz w:val="22"/>
          <w:szCs w:val="22"/>
          <w:lang w:val="uk-UA"/>
        </w:rPr>
        <w:t xml:space="preserve">/ результуючі </w:t>
      </w:r>
      <w:r w:rsidRPr="00124FF7">
        <w:rPr>
          <w:color w:val="auto"/>
          <w:sz w:val="22"/>
          <w:szCs w:val="22"/>
          <w:lang w:val="uk-UA"/>
        </w:rPr>
        <w:t>документи, надават</w:t>
      </w:r>
      <w:r w:rsidR="004E4808">
        <w:rPr>
          <w:color w:val="auto"/>
          <w:sz w:val="22"/>
          <w:szCs w:val="22"/>
          <w:lang w:val="uk-UA"/>
        </w:rPr>
        <w:t>и</w:t>
      </w:r>
      <w:r w:rsidRPr="00124FF7">
        <w:rPr>
          <w:color w:val="auto"/>
          <w:sz w:val="22"/>
          <w:szCs w:val="22"/>
          <w:lang w:val="uk-UA"/>
        </w:rPr>
        <w:t xml:space="preserve"> конструктивний зворотний зв'язок та експертні висновки щодо загальної якості та узгодженості</w:t>
      </w:r>
      <w:r w:rsidR="007121FB">
        <w:rPr>
          <w:color w:val="auto"/>
          <w:sz w:val="22"/>
          <w:szCs w:val="22"/>
          <w:lang w:val="uk-UA"/>
        </w:rPr>
        <w:t xml:space="preserve"> цих документів</w:t>
      </w:r>
      <w:r w:rsidRPr="00124FF7">
        <w:rPr>
          <w:color w:val="auto"/>
          <w:sz w:val="22"/>
          <w:szCs w:val="22"/>
          <w:lang w:val="uk-UA"/>
        </w:rPr>
        <w:t>.</w:t>
      </w:r>
    </w:p>
    <w:p w14:paraId="5DBE8E70" w14:textId="77777777" w:rsidR="006F6A42" w:rsidRPr="00124FF7" w:rsidRDefault="006F6A42" w:rsidP="00D70B0A">
      <w:pPr>
        <w:pStyle w:val="Default"/>
        <w:spacing w:after="58"/>
        <w:ind w:left="360"/>
        <w:jc w:val="both"/>
        <w:rPr>
          <w:color w:val="auto"/>
          <w:sz w:val="22"/>
          <w:szCs w:val="22"/>
          <w:lang w:val="uk-UA"/>
        </w:rPr>
      </w:pPr>
    </w:p>
    <w:p w14:paraId="1CE26BC9" w14:textId="77777777" w:rsidR="00D109FD" w:rsidRPr="00124FF7" w:rsidRDefault="00D109FD" w:rsidP="00D109FD">
      <w:pPr>
        <w:pStyle w:val="Default"/>
        <w:rPr>
          <w:color w:val="auto"/>
          <w:sz w:val="22"/>
          <w:szCs w:val="22"/>
          <w:lang w:val="uk-UA"/>
        </w:rPr>
      </w:pPr>
    </w:p>
    <w:p w14:paraId="058FEDE9" w14:textId="1C73F8F9" w:rsidR="00D109FD" w:rsidRPr="00124FF7" w:rsidRDefault="00D109FD" w:rsidP="00D109FD">
      <w:pPr>
        <w:pStyle w:val="Default"/>
        <w:rPr>
          <w:b/>
          <w:bCs/>
          <w:color w:val="auto"/>
          <w:u w:val="single"/>
          <w:lang w:val="uk-UA"/>
        </w:rPr>
      </w:pPr>
      <w:r w:rsidRPr="00124FF7">
        <w:rPr>
          <w:b/>
          <w:bCs/>
          <w:color w:val="auto"/>
          <w:u w:val="single"/>
          <w:lang w:val="uk-UA"/>
        </w:rPr>
        <w:t>Методологія</w:t>
      </w:r>
    </w:p>
    <w:p w14:paraId="48901B64" w14:textId="77777777" w:rsidR="00693A43" w:rsidRPr="00124FF7" w:rsidRDefault="00693A43" w:rsidP="00212144">
      <w:pPr>
        <w:pStyle w:val="a9"/>
        <w:spacing w:after="0"/>
        <w:ind w:left="0"/>
        <w:jc w:val="both"/>
        <w:rPr>
          <w:rFonts w:ascii="Calibri" w:hAnsi="Calibri" w:cs="Calibri"/>
          <w:lang w:val="uk-UA"/>
        </w:rPr>
      </w:pPr>
    </w:p>
    <w:p w14:paraId="1B211967" w14:textId="133E4FDD" w:rsidR="00807C04" w:rsidRPr="00124FF7" w:rsidRDefault="00807C04" w:rsidP="00807C04">
      <w:pPr>
        <w:pStyle w:val="Default"/>
        <w:rPr>
          <w:color w:val="auto"/>
          <w:sz w:val="22"/>
          <w:szCs w:val="22"/>
          <w:lang w:val="uk-UA"/>
        </w:rPr>
      </w:pPr>
      <w:r w:rsidRPr="00124FF7">
        <w:rPr>
          <w:color w:val="auto"/>
          <w:sz w:val="22"/>
          <w:szCs w:val="22"/>
          <w:lang w:val="uk-UA"/>
        </w:rPr>
        <w:t xml:space="preserve">Очікується, що </w:t>
      </w:r>
      <w:r w:rsidR="00942161">
        <w:rPr>
          <w:color w:val="auto"/>
          <w:sz w:val="22"/>
          <w:szCs w:val="22"/>
          <w:lang w:val="uk-UA"/>
        </w:rPr>
        <w:t>сервіс</w:t>
      </w:r>
      <w:r w:rsidR="00FD0473">
        <w:rPr>
          <w:color w:val="auto"/>
          <w:sz w:val="22"/>
          <w:szCs w:val="22"/>
          <w:lang w:val="uk-UA"/>
        </w:rPr>
        <w:t>-</w:t>
      </w:r>
      <w:r w:rsidR="00942161">
        <w:rPr>
          <w:color w:val="auto"/>
          <w:sz w:val="22"/>
          <w:szCs w:val="22"/>
          <w:lang w:val="uk-UA"/>
        </w:rPr>
        <w:t>провайдер</w:t>
      </w:r>
      <w:r w:rsidRPr="00124FF7">
        <w:rPr>
          <w:color w:val="auto"/>
          <w:sz w:val="22"/>
          <w:szCs w:val="22"/>
          <w:lang w:val="uk-UA"/>
        </w:rPr>
        <w:t xml:space="preserve"> використовуватиме структурований підхід, що включає такі методи:</w:t>
      </w:r>
    </w:p>
    <w:p w14:paraId="6F67A4C0" w14:textId="77777777" w:rsidR="00807C04" w:rsidRPr="00124FF7" w:rsidRDefault="00807C04" w:rsidP="00807C04">
      <w:pPr>
        <w:pStyle w:val="Default"/>
        <w:rPr>
          <w:color w:val="auto"/>
          <w:sz w:val="22"/>
          <w:szCs w:val="22"/>
          <w:lang w:val="uk-UA"/>
        </w:rPr>
      </w:pPr>
    </w:p>
    <w:p w14:paraId="6AB86FA0" w14:textId="3676B3BA" w:rsidR="41766F14" w:rsidRPr="00124FF7" w:rsidRDefault="41766F14" w:rsidP="664C1163">
      <w:pPr>
        <w:pStyle w:val="Default"/>
        <w:numPr>
          <w:ilvl w:val="0"/>
          <w:numId w:val="14"/>
        </w:numPr>
        <w:rPr>
          <w:color w:val="auto"/>
          <w:sz w:val="22"/>
          <w:szCs w:val="22"/>
          <w:lang w:val="uk-UA"/>
        </w:rPr>
      </w:pPr>
      <w:r w:rsidRPr="00124FF7">
        <w:rPr>
          <w:b/>
          <w:bCs/>
          <w:color w:val="auto"/>
          <w:sz w:val="22"/>
          <w:szCs w:val="22"/>
          <w:lang w:val="uk-UA"/>
        </w:rPr>
        <w:t>Стратегічна дорожня карта</w:t>
      </w:r>
      <w:r w:rsidRPr="00124FF7">
        <w:rPr>
          <w:color w:val="auto"/>
          <w:sz w:val="22"/>
          <w:szCs w:val="22"/>
          <w:lang w:val="uk-UA"/>
        </w:rPr>
        <w:t>. Запропону</w:t>
      </w:r>
      <w:r w:rsidR="00EE1198">
        <w:rPr>
          <w:color w:val="auto"/>
          <w:sz w:val="22"/>
          <w:szCs w:val="22"/>
          <w:lang w:val="uk-UA"/>
        </w:rPr>
        <w:t>вати</w:t>
      </w:r>
      <w:r w:rsidRPr="00124FF7">
        <w:rPr>
          <w:color w:val="auto"/>
          <w:sz w:val="22"/>
          <w:szCs w:val="22"/>
          <w:lang w:val="uk-UA"/>
        </w:rPr>
        <w:t xml:space="preserve"> </w:t>
      </w:r>
      <w:r w:rsidR="001D402A">
        <w:rPr>
          <w:color w:val="auto"/>
          <w:sz w:val="22"/>
          <w:szCs w:val="22"/>
          <w:lang w:val="uk-UA"/>
        </w:rPr>
        <w:t xml:space="preserve">дорожню </w:t>
      </w:r>
      <w:r w:rsidRPr="00124FF7">
        <w:rPr>
          <w:color w:val="auto"/>
          <w:sz w:val="22"/>
          <w:szCs w:val="22"/>
          <w:lang w:val="uk-UA"/>
        </w:rPr>
        <w:t>карту, що складається з основних етапів / кроків, їх цілей, в</w:t>
      </w:r>
      <w:r w:rsidR="00E80E88">
        <w:rPr>
          <w:color w:val="auto"/>
          <w:sz w:val="22"/>
          <w:szCs w:val="22"/>
          <w:lang w:val="uk-UA"/>
        </w:rPr>
        <w:t>відних</w:t>
      </w:r>
      <w:r w:rsidR="00494CF9" w:rsidRPr="00494CF9">
        <w:rPr>
          <w:color w:val="auto"/>
          <w:sz w:val="22"/>
          <w:szCs w:val="22"/>
          <w:lang w:val="uk-UA"/>
        </w:rPr>
        <w:t xml:space="preserve"> </w:t>
      </w:r>
      <w:r w:rsidR="002939C2">
        <w:rPr>
          <w:color w:val="auto"/>
          <w:sz w:val="22"/>
          <w:szCs w:val="22"/>
          <w:lang w:val="uk-UA"/>
        </w:rPr>
        <w:t xml:space="preserve">даних </w:t>
      </w:r>
      <w:r w:rsidRPr="00124FF7">
        <w:rPr>
          <w:color w:val="auto"/>
          <w:sz w:val="22"/>
          <w:szCs w:val="22"/>
          <w:lang w:val="uk-UA"/>
        </w:rPr>
        <w:t xml:space="preserve">і результатів на кожному етапі, типів </w:t>
      </w:r>
      <w:r w:rsidR="007A38E0">
        <w:rPr>
          <w:color w:val="auto"/>
          <w:sz w:val="22"/>
          <w:szCs w:val="22"/>
          <w:lang w:val="uk-UA"/>
        </w:rPr>
        <w:t>інтервенцій</w:t>
      </w:r>
      <w:r w:rsidRPr="00124FF7">
        <w:rPr>
          <w:color w:val="auto"/>
          <w:sz w:val="22"/>
          <w:szCs w:val="22"/>
          <w:lang w:val="uk-UA"/>
        </w:rPr>
        <w:t>, термінів, складу груп та іншої відповідної інформації, яка забезпечить уявлення і розуміння запропонованого процесу створення Стратегічного плану</w:t>
      </w:r>
      <w:r w:rsidR="001D402A">
        <w:rPr>
          <w:color w:val="auto"/>
          <w:sz w:val="22"/>
          <w:szCs w:val="22"/>
          <w:lang w:val="uk-UA"/>
        </w:rPr>
        <w:t xml:space="preserve"> (</w:t>
      </w:r>
      <w:r w:rsidR="001D402A">
        <w:rPr>
          <w:color w:val="auto"/>
          <w:sz w:val="22"/>
          <w:szCs w:val="22"/>
        </w:rPr>
        <w:t>helicopter</w:t>
      </w:r>
      <w:r w:rsidR="001D402A" w:rsidRPr="001D402A">
        <w:rPr>
          <w:color w:val="auto"/>
          <w:sz w:val="22"/>
          <w:szCs w:val="22"/>
          <w:lang w:val="uk-UA"/>
        </w:rPr>
        <w:t xml:space="preserve"> </w:t>
      </w:r>
      <w:r w:rsidR="001D402A">
        <w:rPr>
          <w:color w:val="auto"/>
          <w:sz w:val="22"/>
          <w:szCs w:val="22"/>
        </w:rPr>
        <w:t>view</w:t>
      </w:r>
      <w:r w:rsidR="001D402A" w:rsidRPr="001D402A">
        <w:rPr>
          <w:color w:val="auto"/>
          <w:sz w:val="22"/>
          <w:szCs w:val="22"/>
          <w:lang w:val="uk-UA"/>
        </w:rPr>
        <w:t>)</w:t>
      </w:r>
      <w:r w:rsidRPr="00124FF7">
        <w:rPr>
          <w:color w:val="auto"/>
          <w:sz w:val="22"/>
          <w:szCs w:val="22"/>
          <w:lang w:val="uk-UA"/>
        </w:rPr>
        <w:t>.</w:t>
      </w:r>
    </w:p>
    <w:p w14:paraId="5FD8386B" w14:textId="529B36E0" w:rsidR="00807C04" w:rsidRPr="00124FF7" w:rsidRDefault="00807C04" w:rsidP="00807C04">
      <w:pPr>
        <w:pStyle w:val="Default"/>
        <w:numPr>
          <w:ilvl w:val="0"/>
          <w:numId w:val="14"/>
        </w:numPr>
        <w:rPr>
          <w:color w:val="auto"/>
          <w:sz w:val="22"/>
          <w:szCs w:val="22"/>
          <w:lang w:val="uk-UA"/>
        </w:rPr>
      </w:pPr>
      <w:r w:rsidRPr="00124FF7">
        <w:rPr>
          <w:b/>
          <w:bCs/>
          <w:color w:val="auto"/>
          <w:sz w:val="22"/>
          <w:szCs w:val="22"/>
          <w:lang w:val="uk-UA"/>
        </w:rPr>
        <w:lastRenderedPageBreak/>
        <w:t>Огляд документів</w:t>
      </w:r>
      <w:r w:rsidRPr="00124FF7">
        <w:rPr>
          <w:color w:val="auto"/>
          <w:sz w:val="22"/>
          <w:szCs w:val="22"/>
          <w:lang w:val="uk-UA"/>
        </w:rPr>
        <w:t xml:space="preserve">: </w:t>
      </w:r>
      <w:r w:rsidR="002B2BAA">
        <w:rPr>
          <w:color w:val="auto"/>
          <w:sz w:val="22"/>
          <w:szCs w:val="22"/>
          <w:lang w:val="uk-UA"/>
        </w:rPr>
        <w:t>Ознайомитись з</w:t>
      </w:r>
      <w:r w:rsidRPr="00124FF7">
        <w:rPr>
          <w:color w:val="auto"/>
          <w:sz w:val="22"/>
          <w:szCs w:val="22"/>
          <w:lang w:val="uk-UA"/>
        </w:rPr>
        <w:t xml:space="preserve"> відповідн</w:t>
      </w:r>
      <w:r w:rsidR="002B2BAA">
        <w:rPr>
          <w:color w:val="auto"/>
          <w:sz w:val="22"/>
          <w:szCs w:val="22"/>
          <w:lang w:val="uk-UA"/>
        </w:rPr>
        <w:t>ими</w:t>
      </w:r>
      <w:r w:rsidRPr="00124FF7">
        <w:rPr>
          <w:color w:val="auto"/>
          <w:sz w:val="22"/>
          <w:szCs w:val="22"/>
          <w:lang w:val="uk-UA"/>
        </w:rPr>
        <w:t xml:space="preserve"> програмн</w:t>
      </w:r>
      <w:r w:rsidR="002B2BAA">
        <w:rPr>
          <w:color w:val="auto"/>
          <w:sz w:val="22"/>
          <w:szCs w:val="22"/>
          <w:lang w:val="uk-UA"/>
        </w:rPr>
        <w:t>ими</w:t>
      </w:r>
      <w:r w:rsidRPr="00124FF7">
        <w:rPr>
          <w:color w:val="auto"/>
          <w:sz w:val="22"/>
          <w:szCs w:val="22"/>
          <w:lang w:val="uk-UA"/>
        </w:rPr>
        <w:t xml:space="preserve"> документ</w:t>
      </w:r>
      <w:r w:rsidR="002B2BAA">
        <w:rPr>
          <w:color w:val="auto"/>
          <w:sz w:val="22"/>
          <w:szCs w:val="22"/>
          <w:lang w:val="uk-UA"/>
        </w:rPr>
        <w:t>ами</w:t>
      </w:r>
      <w:r w:rsidRPr="00124FF7">
        <w:rPr>
          <w:color w:val="auto"/>
          <w:sz w:val="22"/>
          <w:szCs w:val="22"/>
          <w:lang w:val="uk-UA"/>
        </w:rPr>
        <w:t>, звіт</w:t>
      </w:r>
      <w:r w:rsidR="002B2BAA">
        <w:rPr>
          <w:color w:val="auto"/>
          <w:sz w:val="22"/>
          <w:szCs w:val="22"/>
          <w:lang w:val="uk-UA"/>
        </w:rPr>
        <w:t>ами</w:t>
      </w:r>
      <w:r w:rsidRPr="00124FF7">
        <w:rPr>
          <w:color w:val="auto"/>
          <w:sz w:val="22"/>
          <w:szCs w:val="22"/>
          <w:lang w:val="uk-UA"/>
        </w:rPr>
        <w:t>, публікаці</w:t>
      </w:r>
      <w:r w:rsidR="002B2BAA">
        <w:rPr>
          <w:color w:val="auto"/>
          <w:sz w:val="22"/>
          <w:szCs w:val="22"/>
          <w:lang w:val="uk-UA"/>
        </w:rPr>
        <w:t>ями</w:t>
      </w:r>
      <w:r w:rsidRPr="00124FF7">
        <w:rPr>
          <w:color w:val="auto"/>
          <w:sz w:val="22"/>
          <w:szCs w:val="22"/>
          <w:lang w:val="uk-UA"/>
        </w:rPr>
        <w:t xml:space="preserve"> та внеск</w:t>
      </w:r>
      <w:r w:rsidR="002B2BAA">
        <w:rPr>
          <w:color w:val="auto"/>
          <w:sz w:val="22"/>
          <w:szCs w:val="22"/>
          <w:lang w:val="uk-UA"/>
        </w:rPr>
        <w:t>ами</w:t>
      </w:r>
      <w:r w:rsidRPr="00124FF7">
        <w:rPr>
          <w:color w:val="auto"/>
          <w:sz w:val="22"/>
          <w:szCs w:val="22"/>
          <w:lang w:val="uk-UA"/>
        </w:rPr>
        <w:t xml:space="preserve"> філій та відділів </w:t>
      </w:r>
      <w:r w:rsidR="00124FF7">
        <w:rPr>
          <w:color w:val="auto"/>
          <w:sz w:val="22"/>
          <w:szCs w:val="22"/>
          <w:lang w:val="uk-UA"/>
        </w:rPr>
        <w:t>ТЧХУ</w:t>
      </w:r>
      <w:r w:rsidRPr="00124FF7">
        <w:rPr>
          <w:color w:val="auto"/>
          <w:sz w:val="22"/>
          <w:szCs w:val="22"/>
          <w:lang w:val="uk-UA"/>
        </w:rPr>
        <w:t xml:space="preserve">, включаючи, але не обмежуючись </w:t>
      </w:r>
      <w:r w:rsidR="001D402A">
        <w:rPr>
          <w:color w:val="auto"/>
          <w:sz w:val="22"/>
          <w:szCs w:val="22"/>
          <w:lang w:val="uk-UA"/>
        </w:rPr>
        <w:t>наступним</w:t>
      </w:r>
      <w:r w:rsidRPr="00124FF7">
        <w:rPr>
          <w:color w:val="auto"/>
          <w:sz w:val="22"/>
          <w:szCs w:val="22"/>
          <w:lang w:val="uk-UA"/>
        </w:rPr>
        <w:t>:</w:t>
      </w:r>
    </w:p>
    <w:p w14:paraId="04F93CF6" w14:textId="77777777" w:rsidR="00807C04" w:rsidRPr="00124FF7" w:rsidRDefault="00807C04" w:rsidP="00807C04">
      <w:pPr>
        <w:pStyle w:val="Default"/>
        <w:numPr>
          <w:ilvl w:val="1"/>
          <w:numId w:val="14"/>
        </w:numPr>
        <w:rPr>
          <w:color w:val="auto"/>
          <w:sz w:val="22"/>
          <w:szCs w:val="22"/>
          <w:lang w:val="uk-UA"/>
        </w:rPr>
      </w:pPr>
      <w:r w:rsidRPr="00124FF7">
        <w:rPr>
          <w:color w:val="auto"/>
          <w:sz w:val="22"/>
          <w:szCs w:val="22"/>
          <w:lang w:val="uk-UA"/>
        </w:rPr>
        <w:t>Статут ТЧХУ</w:t>
      </w:r>
    </w:p>
    <w:p w14:paraId="68A465E8" w14:textId="77777777" w:rsidR="00807C04" w:rsidRPr="00124FF7" w:rsidRDefault="00807C04" w:rsidP="00807C04">
      <w:pPr>
        <w:pStyle w:val="Default"/>
        <w:numPr>
          <w:ilvl w:val="1"/>
          <w:numId w:val="14"/>
        </w:numPr>
        <w:rPr>
          <w:color w:val="auto"/>
          <w:sz w:val="22"/>
          <w:szCs w:val="22"/>
          <w:lang w:val="uk-UA"/>
        </w:rPr>
      </w:pPr>
      <w:r w:rsidRPr="00124FF7">
        <w:rPr>
          <w:color w:val="auto"/>
          <w:sz w:val="22"/>
          <w:szCs w:val="22"/>
          <w:lang w:val="uk-UA"/>
        </w:rPr>
        <w:t>Стратегія ТЧХУ на 2021-2025 роки</w:t>
      </w:r>
    </w:p>
    <w:p w14:paraId="05E66C7F" w14:textId="44E6237E" w:rsidR="00807C04" w:rsidRPr="00124FF7" w:rsidRDefault="00807C04" w:rsidP="00C85B21">
      <w:pPr>
        <w:pStyle w:val="Default"/>
        <w:numPr>
          <w:ilvl w:val="2"/>
          <w:numId w:val="14"/>
        </w:numPr>
        <w:rPr>
          <w:color w:val="auto"/>
          <w:sz w:val="22"/>
          <w:szCs w:val="22"/>
          <w:lang w:val="uk-UA"/>
        </w:rPr>
      </w:pPr>
      <w:r w:rsidRPr="00124FF7">
        <w:rPr>
          <w:color w:val="auto"/>
          <w:sz w:val="22"/>
          <w:szCs w:val="22"/>
          <w:lang w:val="uk-UA"/>
        </w:rPr>
        <w:t>Єдиний план</w:t>
      </w:r>
      <w:r w:rsidR="00B800B9">
        <w:rPr>
          <w:color w:val="auto"/>
          <w:sz w:val="22"/>
          <w:szCs w:val="22"/>
          <w:lang w:val="uk-UA"/>
        </w:rPr>
        <w:t xml:space="preserve"> (</w:t>
      </w:r>
      <w:r w:rsidR="00B800B9">
        <w:rPr>
          <w:color w:val="auto"/>
          <w:sz w:val="22"/>
          <w:szCs w:val="22"/>
        </w:rPr>
        <w:t>One</w:t>
      </w:r>
      <w:r w:rsidR="00B800B9" w:rsidRPr="00B800B9">
        <w:rPr>
          <w:color w:val="auto"/>
          <w:sz w:val="22"/>
          <w:szCs w:val="22"/>
          <w:lang w:val="ru-RU"/>
        </w:rPr>
        <w:t xml:space="preserve"> </w:t>
      </w:r>
      <w:r w:rsidR="00B800B9">
        <w:rPr>
          <w:color w:val="auto"/>
          <w:sz w:val="22"/>
          <w:szCs w:val="22"/>
        </w:rPr>
        <w:t>Plan</w:t>
      </w:r>
      <w:r w:rsidR="00B800B9" w:rsidRPr="00B800B9">
        <w:rPr>
          <w:color w:val="auto"/>
          <w:sz w:val="22"/>
          <w:szCs w:val="22"/>
          <w:lang w:val="ru-RU"/>
        </w:rPr>
        <w:t>)</w:t>
      </w:r>
      <w:r w:rsidRPr="00124FF7">
        <w:rPr>
          <w:color w:val="auto"/>
          <w:sz w:val="22"/>
          <w:szCs w:val="22"/>
          <w:lang w:val="uk-UA"/>
        </w:rPr>
        <w:t xml:space="preserve"> ТЧХУ на 2023-2025 роки</w:t>
      </w:r>
    </w:p>
    <w:p w14:paraId="4C030FC0" w14:textId="0604865A" w:rsidR="00245DE1" w:rsidRPr="00124FF7" w:rsidRDefault="00245DE1" w:rsidP="00807C04">
      <w:pPr>
        <w:pStyle w:val="Default"/>
        <w:numPr>
          <w:ilvl w:val="1"/>
          <w:numId w:val="14"/>
        </w:numPr>
        <w:rPr>
          <w:color w:val="auto"/>
          <w:sz w:val="22"/>
          <w:szCs w:val="22"/>
          <w:lang w:val="uk-UA"/>
        </w:rPr>
      </w:pPr>
      <w:r w:rsidRPr="00124FF7">
        <w:rPr>
          <w:color w:val="auto"/>
          <w:sz w:val="22"/>
          <w:szCs w:val="22"/>
          <w:lang w:val="uk-UA"/>
        </w:rPr>
        <w:t xml:space="preserve">Програмні </w:t>
      </w:r>
      <w:r w:rsidR="00CC1084">
        <w:rPr>
          <w:color w:val="auto"/>
          <w:sz w:val="22"/>
          <w:szCs w:val="22"/>
          <w:lang w:val="uk-UA"/>
        </w:rPr>
        <w:t xml:space="preserve">стратегії </w:t>
      </w:r>
      <w:r w:rsidRPr="00124FF7">
        <w:rPr>
          <w:color w:val="auto"/>
          <w:sz w:val="22"/>
          <w:szCs w:val="22"/>
          <w:lang w:val="uk-UA"/>
        </w:rPr>
        <w:t>та стратегії</w:t>
      </w:r>
      <w:r w:rsidR="00627055" w:rsidRPr="002C45A5">
        <w:rPr>
          <w:color w:val="auto"/>
          <w:sz w:val="22"/>
          <w:szCs w:val="22"/>
          <w:lang w:val="ru-RU"/>
        </w:rPr>
        <w:t xml:space="preserve"> </w:t>
      </w:r>
      <w:r w:rsidR="00627055">
        <w:rPr>
          <w:color w:val="auto"/>
          <w:sz w:val="22"/>
          <w:szCs w:val="22"/>
          <w:lang w:val="uk-UA"/>
        </w:rPr>
        <w:t>департаментів</w:t>
      </w:r>
    </w:p>
    <w:p w14:paraId="687B9755" w14:textId="56A37D9B" w:rsidR="61A09E8D" w:rsidRPr="00124FF7" w:rsidRDefault="61A09E8D" w:rsidP="181AED5C">
      <w:pPr>
        <w:pStyle w:val="Default"/>
        <w:numPr>
          <w:ilvl w:val="1"/>
          <w:numId w:val="14"/>
        </w:numPr>
        <w:rPr>
          <w:color w:val="auto"/>
          <w:sz w:val="22"/>
          <w:szCs w:val="22"/>
          <w:lang w:val="uk-UA"/>
        </w:rPr>
      </w:pPr>
      <w:r w:rsidRPr="00124FF7">
        <w:rPr>
          <w:color w:val="auto"/>
          <w:sz w:val="22"/>
          <w:szCs w:val="22"/>
          <w:lang w:val="uk-UA"/>
        </w:rPr>
        <w:t>Приклади стратегічних планів обраних національних товариств партнерів</w:t>
      </w:r>
    </w:p>
    <w:p w14:paraId="28538F47" w14:textId="0F59C459" w:rsidR="61A09E8D" w:rsidRDefault="61A09E8D" w:rsidP="181AED5C">
      <w:pPr>
        <w:pStyle w:val="Default"/>
        <w:numPr>
          <w:ilvl w:val="1"/>
          <w:numId w:val="14"/>
        </w:numPr>
        <w:rPr>
          <w:color w:val="auto"/>
          <w:sz w:val="22"/>
          <w:szCs w:val="22"/>
          <w:lang w:val="uk-UA"/>
        </w:rPr>
      </w:pPr>
      <w:r w:rsidRPr="00124FF7">
        <w:rPr>
          <w:color w:val="auto"/>
          <w:sz w:val="22"/>
          <w:szCs w:val="22"/>
          <w:lang w:val="uk-UA"/>
        </w:rPr>
        <w:t>Стратегія МФЧХ до 2030 року</w:t>
      </w:r>
    </w:p>
    <w:p w14:paraId="6E3D202B" w14:textId="2A53A1F6" w:rsidR="005C1762" w:rsidRPr="00971ECE" w:rsidRDefault="00846CA3" w:rsidP="00C85B21">
      <w:pPr>
        <w:pStyle w:val="Default"/>
        <w:ind w:left="360" w:firstLine="720"/>
        <w:rPr>
          <w:color w:val="0070C0"/>
          <w:sz w:val="20"/>
          <w:szCs w:val="20"/>
          <w:lang w:val="uk-UA"/>
        </w:rPr>
      </w:pPr>
      <w:r w:rsidRPr="002D708A">
        <w:rPr>
          <w:b/>
          <w:bCs/>
          <w:color w:val="auto"/>
          <w:sz w:val="22"/>
          <w:szCs w:val="22"/>
          <w:lang w:val="uk-UA"/>
        </w:rPr>
        <w:t>Релевантні</w:t>
      </w:r>
      <w:r w:rsidR="003F7573" w:rsidRPr="002D708A">
        <w:rPr>
          <w:b/>
          <w:bCs/>
          <w:color w:val="auto"/>
          <w:sz w:val="22"/>
          <w:szCs w:val="22"/>
          <w:lang w:val="uk-UA"/>
        </w:rPr>
        <w:t xml:space="preserve"> </w:t>
      </w:r>
      <w:r w:rsidRPr="002D708A">
        <w:rPr>
          <w:b/>
          <w:bCs/>
          <w:color w:val="auto"/>
          <w:sz w:val="22"/>
          <w:szCs w:val="22"/>
          <w:lang w:val="uk-UA"/>
        </w:rPr>
        <w:t>посилання</w:t>
      </w:r>
      <w:r w:rsidR="003F7573" w:rsidRPr="002D708A">
        <w:rPr>
          <w:b/>
          <w:bCs/>
          <w:color w:val="auto"/>
          <w:sz w:val="22"/>
          <w:szCs w:val="22"/>
          <w:lang w:val="uk-UA"/>
        </w:rPr>
        <w:t>:</w:t>
      </w:r>
      <w:r w:rsidR="003F7573" w:rsidRPr="002D708A">
        <w:rPr>
          <w:rFonts w:asciiTheme="minorHAnsi" w:hAnsiTheme="minorHAnsi" w:cstheme="minorBidi"/>
          <w:color w:val="auto"/>
          <w:kern w:val="2"/>
          <w:sz w:val="22"/>
          <w:szCs w:val="22"/>
          <w:lang w:val="ru-RU"/>
          <w14:ligatures w14:val="standardContextual"/>
        </w:rPr>
        <w:t xml:space="preserve"> </w:t>
      </w:r>
      <w:hyperlink r:id="rId9" w:history="1">
        <w:r w:rsidR="003F7573" w:rsidRPr="00971ECE">
          <w:rPr>
            <w:rStyle w:val="af0"/>
            <w:color w:val="0070C0"/>
            <w:sz w:val="22"/>
            <w:szCs w:val="22"/>
            <w:lang w:val="uk-UA"/>
          </w:rPr>
          <w:t>Інформаційна база – Товариство Червоного Хреста України</w:t>
        </w:r>
      </w:hyperlink>
    </w:p>
    <w:p w14:paraId="72FF15DC" w14:textId="640E7D1A" w:rsidR="00234E21" w:rsidRPr="00234E21" w:rsidRDefault="00971ECE" w:rsidP="00971ECE">
      <w:pPr>
        <w:pStyle w:val="Default"/>
        <w:ind w:left="2160" w:firstLine="720"/>
        <w:rPr>
          <w:color w:val="0070C0"/>
          <w:sz w:val="22"/>
          <w:szCs w:val="22"/>
          <w:lang w:val="uk-UA"/>
        </w:rPr>
      </w:pPr>
      <w:r w:rsidRPr="00971ECE">
        <w:rPr>
          <w:color w:val="0070C0"/>
          <w:sz w:val="22"/>
          <w:szCs w:val="22"/>
          <w:lang w:val="uk-UA"/>
        </w:rPr>
        <w:t xml:space="preserve">         </w:t>
      </w:r>
      <w:hyperlink r:id="rId10" w:history="1">
        <w:r w:rsidRPr="00234E21">
          <w:rPr>
            <w:rStyle w:val="af0"/>
            <w:color w:val="0070C0"/>
            <w:sz w:val="22"/>
            <w:szCs w:val="22"/>
            <w:lang w:val="uk-UA"/>
          </w:rPr>
          <w:t>https://reliefweb.int/report/ukraine/urcs-one-plan-2023-2025</w:t>
        </w:r>
      </w:hyperlink>
      <w:r w:rsidR="00234E21" w:rsidRPr="00234E21">
        <w:rPr>
          <w:color w:val="0070C0"/>
          <w:sz w:val="22"/>
          <w:szCs w:val="22"/>
          <w:lang w:val="uk-UA"/>
        </w:rPr>
        <w:t xml:space="preserve"> </w:t>
      </w:r>
    </w:p>
    <w:p w14:paraId="73DCF73C" w14:textId="09B7A76F" w:rsidR="00807C04" w:rsidRPr="00124FF7" w:rsidRDefault="00807C04" w:rsidP="00807C04">
      <w:pPr>
        <w:pStyle w:val="Default"/>
        <w:numPr>
          <w:ilvl w:val="0"/>
          <w:numId w:val="14"/>
        </w:numPr>
        <w:rPr>
          <w:color w:val="auto"/>
          <w:sz w:val="22"/>
          <w:szCs w:val="22"/>
          <w:lang w:val="uk-UA"/>
        </w:rPr>
      </w:pPr>
      <w:r w:rsidRPr="00124FF7">
        <w:rPr>
          <w:b/>
          <w:bCs/>
          <w:color w:val="auto"/>
          <w:sz w:val="22"/>
          <w:szCs w:val="22"/>
          <w:lang w:val="uk-UA"/>
        </w:rPr>
        <w:t>Взаємодія із зацікавленими сторонами</w:t>
      </w:r>
      <w:r w:rsidRPr="00124FF7">
        <w:rPr>
          <w:color w:val="auto"/>
          <w:sz w:val="22"/>
          <w:szCs w:val="22"/>
          <w:lang w:val="uk-UA"/>
        </w:rPr>
        <w:t>: Пров</w:t>
      </w:r>
      <w:r w:rsidR="00074D79">
        <w:rPr>
          <w:color w:val="auto"/>
          <w:sz w:val="22"/>
          <w:szCs w:val="22"/>
          <w:lang w:val="uk-UA"/>
        </w:rPr>
        <w:t>ести</w:t>
      </w:r>
      <w:r w:rsidRPr="00124FF7">
        <w:rPr>
          <w:color w:val="auto"/>
          <w:sz w:val="22"/>
          <w:szCs w:val="22"/>
          <w:lang w:val="uk-UA"/>
        </w:rPr>
        <w:t xml:space="preserve"> інтерв'ю з:</w:t>
      </w:r>
    </w:p>
    <w:p w14:paraId="7F05B45A" w14:textId="77777777" w:rsidR="00807C04" w:rsidRPr="00124FF7" w:rsidRDefault="00807C04" w:rsidP="00807C04">
      <w:pPr>
        <w:pStyle w:val="Default"/>
        <w:numPr>
          <w:ilvl w:val="1"/>
          <w:numId w:val="14"/>
        </w:numPr>
        <w:rPr>
          <w:color w:val="auto"/>
          <w:sz w:val="22"/>
          <w:szCs w:val="22"/>
          <w:lang w:val="uk-UA"/>
        </w:rPr>
      </w:pPr>
      <w:r w:rsidRPr="00124FF7">
        <w:rPr>
          <w:color w:val="auto"/>
          <w:sz w:val="22"/>
          <w:szCs w:val="22"/>
          <w:lang w:val="uk-UA"/>
        </w:rPr>
        <w:t>Керівництво ТЧХУ</w:t>
      </w:r>
    </w:p>
    <w:p w14:paraId="18E4CEC5" w14:textId="55ACFB39" w:rsidR="00807C04" w:rsidRPr="00124FF7" w:rsidRDefault="00631607" w:rsidP="00807C04">
      <w:pPr>
        <w:pStyle w:val="Default"/>
        <w:numPr>
          <w:ilvl w:val="1"/>
          <w:numId w:val="14"/>
        </w:numPr>
        <w:rPr>
          <w:color w:val="auto"/>
          <w:sz w:val="22"/>
          <w:szCs w:val="22"/>
          <w:lang w:val="uk-UA"/>
        </w:rPr>
      </w:pPr>
      <w:r>
        <w:rPr>
          <w:color w:val="auto"/>
          <w:sz w:val="22"/>
          <w:szCs w:val="22"/>
          <w:lang w:val="uk-UA"/>
        </w:rPr>
        <w:t>Ланка менеджменту</w:t>
      </w:r>
      <w:r w:rsidR="002C45A5">
        <w:rPr>
          <w:color w:val="auto"/>
          <w:sz w:val="22"/>
          <w:szCs w:val="22"/>
          <w:lang w:val="uk-UA"/>
        </w:rPr>
        <w:t xml:space="preserve"> ТЧХУ</w:t>
      </w:r>
    </w:p>
    <w:p w14:paraId="1CDD089A" w14:textId="77777777" w:rsidR="00807C04" w:rsidRPr="00124FF7" w:rsidRDefault="00807C04" w:rsidP="00807C04">
      <w:pPr>
        <w:pStyle w:val="Default"/>
        <w:numPr>
          <w:ilvl w:val="1"/>
          <w:numId w:val="14"/>
        </w:numPr>
        <w:rPr>
          <w:color w:val="auto"/>
          <w:sz w:val="22"/>
          <w:szCs w:val="22"/>
          <w:lang w:val="uk-UA"/>
        </w:rPr>
      </w:pPr>
      <w:r w:rsidRPr="00124FF7">
        <w:rPr>
          <w:color w:val="auto"/>
          <w:sz w:val="22"/>
          <w:szCs w:val="22"/>
          <w:lang w:val="uk-UA"/>
        </w:rPr>
        <w:t>Партнери Руху Червоного Хреста в Україні</w:t>
      </w:r>
    </w:p>
    <w:p w14:paraId="6F61AA14" w14:textId="4A079B9B" w:rsidR="26FEF91B" w:rsidRPr="00124FF7" w:rsidRDefault="26FEF91B" w:rsidP="181AED5C">
      <w:pPr>
        <w:pStyle w:val="Default"/>
        <w:numPr>
          <w:ilvl w:val="1"/>
          <w:numId w:val="14"/>
        </w:numPr>
        <w:rPr>
          <w:color w:val="auto"/>
          <w:sz w:val="22"/>
          <w:szCs w:val="22"/>
          <w:lang w:val="uk-UA"/>
        </w:rPr>
      </w:pPr>
      <w:r w:rsidRPr="00124FF7">
        <w:rPr>
          <w:color w:val="auto"/>
          <w:sz w:val="22"/>
          <w:szCs w:val="22"/>
          <w:lang w:val="uk-UA"/>
        </w:rPr>
        <w:t xml:space="preserve">Ключові групи зацікавлених сторін, визначені </w:t>
      </w:r>
      <w:r w:rsidR="00124FF7">
        <w:rPr>
          <w:color w:val="auto"/>
          <w:sz w:val="22"/>
          <w:szCs w:val="22"/>
          <w:lang w:val="uk-UA"/>
        </w:rPr>
        <w:t>ТЧХУ</w:t>
      </w:r>
    </w:p>
    <w:p w14:paraId="25551751" w14:textId="750610F6" w:rsidR="00803FFD" w:rsidRPr="00124FF7" w:rsidRDefault="00807C04" w:rsidP="00803FFD">
      <w:pPr>
        <w:pStyle w:val="Default"/>
        <w:numPr>
          <w:ilvl w:val="0"/>
          <w:numId w:val="14"/>
        </w:numPr>
        <w:rPr>
          <w:color w:val="auto"/>
          <w:sz w:val="22"/>
          <w:szCs w:val="22"/>
          <w:lang w:val="uk-UA"/>
        </w:rPr>
      </w:pPr>
      <w:r w:rsidRPr="00124FF7">
        <w:rPr>
          <w:b/>
          <w:bCs/>
          <w:color w:val="auto"/>
          <w:sz w:val="22"/>
          <w:szCs w:val="22"/>
          <w:lang w:val="uk-UA"/>
        </w:rPr>
        <w:t>Пряме спостереження</w:t>
      </w:r>
      <w:r w:rsidRPr="00124FF7">
        <w:rPr>
          <w:color w:val="auto"/>
          <w:sz w:val="22"/>
          <w:szCs w:val="22"/>
          <w:lang w:val="uk-UA"/>
        </w:rPr>
        <w:t xml:space="preserve">: </w:t>
      </w:r>
      <w:r w:rsidR="00631607">
        <w:rPr>
          <w:color w:val="auto"/>
          <w:sz w:val="22"/>
          <w:szCs w:val="22"/>
          <w:lang w:val="uk-UA"/>
        </w:rPr>
        <w:t>Застосувати</w:t>
      </w:r>
      <w:r w:rsidR="00B35C6C">
        <w:rPr>
          <w:color w:val="auto"/>
          <w:sz w:val="22"/>
          <w:szCs w:val="22"/>
          <w:lang w:val="uk-UA"/>
        </w:rPr>
        <w:t xml:space="preserve"> методи</w:t>
      </w:r>
      <w:r w:rsidRPr="00124FF7">
        <w:rPr>
          <w:color w:val="auto"/>
          <w:sz w:val="22"/>
          <w:szCs w:val="22"/>
          <w:lang w:val="uk-UA"/>
        </w:rPr>
        <w:t xml:space="preserve"> прям</w:t>
      </w:r>
      <w:r w:rsidR="00B35C6C">
        <w:rPr>
          <w:color w:val="auto"/>
          <w:sz w:val="22"/>
          <w:szCs w:val="22"/>
          <w:lang w:val="uk-UA"/>
        </w:rPr>
        <w:t>ого</w:t>
      </w:r>
      <w:r w:rsidRPr="00124FF7">
        <w:rPr>
          <w:color w:val="auto"/>
          <w:sz w:val="22"/>
          <w:szCs w:val="22"/>
          <w:lang w:val="uk-UA"/>
        </w:rPr>
        <w:t xml:space="preserve"> спостереження для розуміння реалій на місцях та інформування про стратегічний процес.</w:t>
      </w:r>
    </w:p>
    <w:p w14:paraId="4E95029B" w14:textId="09122B04" w:rsidR="00803FFD" w:rsidRPr="00124FF7" w:rsidRDefault="00803FFD" w:rsidP="002A3B0E">
      <w:pPr>
        <w:pStyle w:val="Default"/>
        <w:numPr>
          <w:ilvl w:val="0"/>
          <w:numId w:val="14"/>
        </w:numPr>
        <w:rPr>
          <w:color w:val="auto"/>
          <w:sz w:val="22"/>
          <w:szCs w:val="22"/>
          <w:lang w:val="uk-UA"/>
        </w:rPr>
      </w:pPr>
      <w:r w:rsidRPr="00124FF7">
        <w:rPr>
          <w:b/>
          <w:bCs/>
          <w:color w:val="auto"/>
          <w:sz w:val="22"/>
          <w:szCs w:val="22"/>
          <w:lang w:val="uk-UA"/>
        </w:rPr>
        <w:t>Інструменти стратегічного планування</w:t>
      </w:r>
      <w:r w:rsidRPr="00124FF7">
        <w:rPr>
          <w:color w:val="auto"/>
          <w:sz w:val="22"/>
          <w:szCs w:val="22"/>
          <w:lang w:val="uk-UA"/>
        </w:rPr>
        <w:t xml:space="preserve">: </w:t>
      </w:r>
      <w:r w:rsidR="00B35C6C">
        <w:rPr>
          <w:color w:val="auto"/>
          <w:sz w:val="22"/>
          <w:szCs w:val="22"/>
          <w:lang w:val="uk-UA"/>
        </w:rPr>
        <w:t>Заст</w:t>
      </w:r>
      <w:r w:rsidR="00A12C8D">
        <w:rPr>
          <w:color w:val="auto"/>
          <w:sz w:val="22"/>
          <w:szCs w:val="22"/>
          <w:lang w:val="uk-UA"/>
        </w:rPr>
        <w:t>осувати</w:t>
      </w:r>
      <w:r w:rsidRPr="00124FF7">
        <w:rPr>
          <w:color w:val="auto"/>
          <w:sz w:val="22"/>
          <w:szCs w:val="22"/>
          <w:lang w:val="uk-UA"/>
        </w:rPr>
        <w:t xml:space="preserve"> такі інструменти</w:t>
      </w:r>
      <w:r w:rsidR="00A12C8D">
        <w:rPr>
          <w:color w:val="auto"/>
          <w:sz w:val="22"/>
          <w:szCs w:val="22"/>
          <w:lang w:val="uk-UA"/>
        </w:rPr>
        <w:t xml:space="preserve"> (або подібні до них)</w:t>
      </w:r>
      <w:r w:rsidRPr="00124FF7">
        <w:rPr>
          <w:color w:val="auto"/>
          <w:sz w:val="22"/>
          <w:szCs w:val="22"/>
          <w:lang w:val="uk-UA"/>
        </w:rPr>
        <w:t xml:space="preserve">, як аналіз SWOT/SOAR/PESTLE, </w:t>
      </w:r>
      <w:r w:rsidR="00975ABD">
        <w:rPr>
          <w:color w:val="auto"/>
          <w:sz w:val="22"/>
          <w:szCs w:val="22"/>
          <w:lang w:val="uk-UA"/>
        </w:rPr>
        <w:t>методики</w:t>
      </w:r>
      <w:r w:rsidRPr="00124FF7">
        <w:rPr>
          <w:color w:val="auto"/>
          <w:sz w:val="22"/>
          <w:szCs w:val="22"/>
          <w:lang w:val="uk-UA"/>
        </w:rPr>
        <w:t xml:space="preserve"> стратегічного планування, вправи з передбачення </w:t>
      </w:r>
      <w:r w:rsidR="009F6716">
        <w:rPr>
          <w:color w:val="auto"/>
          <w:sz w:val="22"/>
          <w:szCs w:val="22"/>
          <w:lang w:val="uk-UA"/>
        </w:rPr>
        <w:t>(</w:t>
      </w:r>
      <w:r w:rsidR="009F6716">
        <w:rPr>
          <w:color w:val="auto"/>
          <w:sz w:val="22"/>
          <w:szCs w:val="22"/>
        </w:rPr>
        <w:t>Future</w:t>
      </w:r>
      <w:r w:rsidR="009F6716" w:rsidRPr="009F6716">
        <w:rPr>
          <w:color w:val="auto"/>
          <w:sz w:val="22"/>
          <w:szCs w:val="22"/>
          <w:lang w:val="uk-UA"/>
        </w:rPr>
        <w:t xml:space="preserve"> </w:t>
      </w:r>
      <w:r w:rsidR="009F6716">
        <w:rPr>
          <w:color w:val="auto"/>
          <w:sz w:val="22"/>
          <w:szCs w:val="22"/>
        </w:rPr>
        <w:t>and</w:t>
      </w:r>
      <w:r w:rsidR="009F6716" w:rsidRPr="009F6716">
        <w:rPr>
          <w:color w:val="auto"/>
          <w:sz w:val="22"/>
          <w:szCs w:val="22"/>
          <w:lang w:val="uk-UA"/>
        </w:rPr>
        <w:t xml:space="preserve"> </w:t>
      </w:r>
      <w:r w:rsidR="009F6716">
        <w:rPr>
          <w:color w:val="auto"/>
          <w:sz w:val="22"/>
          <w:szCs w:val="22"/>
        </w:rPr>
        <w:t>Foresight</w:t>
      </w:r>
      <w:r w:rsidR="009F6716" w:rsidRPr="009F6716">
        <w:rPr>
          <w:color w:val="auto"/>
          <w:sz w:val="22"/>
          <w:szCs w:val="22"/>
          <w:lang w:val="uk-UA"/>
        </w:rPr>
        <w:t xml:space="preserve">) </w:t>
      </w:r>
      <w:r w:rsidRPr="00124FF7">
        <w:rPr>
          <w:color w:val="auto"/>
          <w:sz w:val="22"/>
          <w:szCs w:val="22"/>
          <w:lang w:val="uk-UA"/>
        </w:rPr>
        <w:t xml:space="preserve">та інші аналітичні інструменти для підтримки розробки ефективного </w:t>
      </w:r>
      <w:r w:rsidR="00A14467">
        <w:rPr>
          <w:color w:val="auto"/>
          <w:sz w:val="22"/>
          <w:szCs w:val="22"/>
          <w:lang w:val="uk-UA"/>
        </w:rPr>
        <w:t>С</w:t>
      </w:r>
      <w:r w:rsidRPr="00124FF7">
        <w:rPr>
          <w:color w:val="auto"/>
          <w:sz w:val="22"/>
          <w:szCs w:val="22"/>
          <w:lang w:val="uk-UA"/>
        </w:rPr>
        <w:t>тратегічного плану.</w:t>
      </w:r>
    </w:p>
    <w:p w14:paraId="2414A98C" w14:textId="77777777" w:rsidR="00803FFD" w:rsidRPr="00124FF7" w:rsidRDefault="00803FFD" w:rsidP="00803FFD">
      <w:pPr>
        <w:pStyle w:val="Default"/>
        <w:ind w:left="720"/>
        <w:rPr>
          <w:color w:val="auto"/>
          <w:sz w:val="22"/>
          <w:szCs w:val="22"/>
          <w:lang w:val="uk-UA"/>
        </w:rPr>
      </w:pPr>
    </w:p>
    <w:p w14:paraId="180DE8EB" w14:textId="240647EE" w:rsidR="00807C04" w:rsidRPr="00124FF7" w:rsidRDefault="00807C04" w:rsidP="00807C04">
      <w:pPr>
        <w:pStyle w:val="Default"/>
        <w:rPr>
          <w:color w:val="auto"/>
          <w:sz w:val="22"/>
          <w:szCs w:val="22"/>
          <w:lang w:val="uk-UA"/>
        </w:rPr>
      </w:pPr>
      <w:r w:rsidRPr="00124FF7">
        <w:rPr>
          <w:b/>
          <w:bCs/>
          <w:color w:val="auto"/>
          <w:sz w:val="22"/>
          <w:szCs w:val="22"/>
          <w:lang w:val="uk-UA"/>
        </w:rPr>
        <w:t>Підготовка</w:t>
      </w:r>
    </w:p>
    <w:p w14:paraId="1B931308" w14:textId="0AF88EBF" w:rsidR="00AB4D10" w:rsidRPr="00124FF7" w:rsidRDefault="00807C04" w:rsidP="00317A6B">
      <w:pPr>
        <w:pStyle w:val="Default"/>
        <w:numPr>
          <w:ilvl w:val="0"/>
          <w:numId w:val="15"/>
        </w:numPr>
        <w:rPr>
          <w:color w:val="auto"/>
          <w:sz w:val="22"/>
          <w:szCs w:val="22"/>
          <w:lang w:val="uk-UA"/>
        </w:rPr>
      </w:pPr>
      <w:r w:rsidRPr="00124FF7">
        <w:rPr>
          <w:b/>
          <w:bCs/>
          <w:color w:val="auto"/>
          <w:sz w:val="22"/>
          <w:szCs w:val="22"/>
          <w:lang w:val="uk-UA"/>
        </w:rPr>
        <w:t>Збір даних</w:t>
      </w:r>
      <w:r w:rsidRPr="00124FF7">
        <w:rPr>
          <w:color w:val="auto"/>
          <w:sz w:val="22"/>
          <w:szCs w:val="22"/>
          <w:lang w:val="uk-UA"/>
        </w:rPr>
        <w:t xml:space="preserve">: </w:t>
      </w:r>
      <w:r w:rsidR="007575B8">
        <w:rPr>
          <w:color w:val="auto"/>
          <w:sz w:val="22"/>
          <w:szCs w:val="22"/>
          <w:lang w:val="uk-UA"/>
        </w:rPr>
        <w:t>З</w:t>
      </w:r>
      <w:r w:rsidR="00C27BA3">
        <w:rPr>
          <w:color w:val="auto"/>
          <w:sz w:val="22"/>
          <w:szCs w:val="22"/>
          <w:lang w:val="uk-UA"/>
        </w:rPr>
        <w:t>іб</w:t>
      </w:r>
      <w:r w:rsidR="00C27BA3" w:rsidRPr="00124FF7">
        <w:rPr>
          <w:color w:val="auto"/>
          <w:sz w:val="22"/>
          <w:szCs w:val="22"/>
          <w:lang w:val="uk-UA"/>
        </w:rPr>
        <w:t>рат</w:t>
      </w:r>
      <w:r w:rsidR="00C27BA3">
        <w:rPr>
          <w:color w:val="auto"/>
          <w:sz w:val="22"/>
          <w:szCs w:val="22"/>
          <w:lang w:val="uk-UA"/>
        </w:rPr>
        <w:t>и</w:t>
      </w:r>
      <w:r w:rsidRPr="00124FF7">
        <w:rPr>
          <w:color w:val="auto"/>
          <w:sz w:val="22"/>
          <w:szCs w:val="22"/>
          <w:lang w:val="uk-UA"/>
        </w:rPr>
        <w:t xml:space="preserve"> інформацію від філій та </w:t>
      </w:r>
      <w:r w:rsidR="00C27BA3">
        <w:rPr>
          <w:color w:val="auto"/>
          <w:sz w:val="22"/>
          <w:szCs w:val="22"/>
          <w:lang w:val="uk-UA"/>
        </w:rPr>
        <w:t xml:space="preserve">департаментів / </w:t>
      </w:r>
      <w:r w:rsidRPr="00124FF7">
        <w:rPr>
          <w:color w:val="auto"/>
          <w:sz w:val="22"/>
          <w:szCs w:val="22"/>
          <w:lang w:val="uk-UA"/>
        </w:rPr>
        <w:t xml:space="preserve">відділів на основі існуючих процесів та анкет. </w:t>
      </w:r>
      <w:r w:rsidR="00003D14">
        <w:rPr>
          <w:color w:val="auto"/>
          <w:sz w:val="22"/>
          <w:szCs w:val="22"/>
          <w:lang w:val="uk-UA"/>
        </w:rPr>
        <w:t xml:space="preserve">Проаналізувати та </w:t>
      </w:r>
      <w:r w:rsidR="0094191E">
        <w:rPr>
          <w:color w:val="auto"/>
          <w:sz w:val="22"/>
          <w:szCs w:val="22"/>
          <w:lang w:val="uk-UA"/>
        </w:rPr>
        <w:t>у</w:t>
      </w:r>
      <w:r w:rsidRPr="00124FF7">
        <w:rPr>
          <w:color w:val="auto"/>
          <w:sz w:val="22"/>
          <w:szCs w:val="22"/>
          <w:lang w:val="uk-UA"/>
        </w:rPr>
        <w:t>загальн</w:t>
      </w:r>
      <w:r w:rsidR="00003D14">
        <w:rPr>
          <w:color w:val="auto"/>
          <w:sz w:val="22"/>
          <w:szCs w:val="22"/>
          <w:lang w:val="uk-UA"/>
        </w:rPr>
        <w:t>ити</w:t>
      </w:r>
      <w:r w:rsidRPr="00124FF7">
        <w:rPr>
          <w:color w:val="auto"/>
          <w:sz w:val="22"/>
          <w:szCs w:val="22"/>
          <w:lang w:val="uk-UA"/>
        </w:rPr>
        <w:t xml:space="preserve"> інформацію, щоб визначити ключові проблеми.</w:t>
      </w:r>
    </w:p>
    <w:p w14:paraId="56B2A9F2" w14:textId="25F34836" w:rsidR="00807C04" w:rsidRPr="00124FF7" w:rsidRDefault="00807C04" w:rsidP="00807C04">
      <w:pPr>
        <w:pStyle w:val="Default"/>
        <w:numPr>
          <w:ilvl w:val="0"/>
          <w:numId w:val="15"/>
        </w:numPr>
        <w:rPr>
          <w:color w:val="auto"/>
          <w:sz w:val="22"/>
          <w:szCs w:val="22"/>
          <w:lang w:val="uk-UA"/>
        </w:rPr>
      </w:pPr>
      <w:r w:rsidRPr="00124FF7">
        <w:rPr>
          <w:b/>
          <w:bCs/>
          <w:color w:val="auto"/>
          <w:sz w:val="22"/>
          <w:szCs w:val="22"/>
          <w:lang w:val="uk-UA"/>
        </w:rPr>
        <w:t>Стратегічні рамки та порядок денний</w:t>
      </w:r>
      <w:r w:rsidRPr="00124FF7">
        <w:rPr>
          <w:color w:val="auto"/>
          <w:sz w:val="22"/>
          <w:szCs w:val="22"/>
          <w:lang w:val="uk-UA"/>
        </w:rPr>
        <w:t>: Розроб</w:t>
      </w:r>
      <w:r w:rsidR="00DF3C58">
        <w:rPr>
          <w:color w:val="auto"/>
          <w:sz w:val="22"/>
          <w:szCs w:val="22"/>
          <w:lang w:val="uk-UA"/>
        </w:rPr>
        <w:t>ити</w:t>
      </w:r>
      <w:r w:rsidRPr="00124FF7">
        <w:rPr>
          <w:color w:val="auto"/>
          <w:sz w:val="22"/>
          <w:szCs w:val="22"/>
          <w:lang w:val="uk-UA"/>
        </w:rPr>
        <w:t xml:space="preserve"> чітк</w:t>
      </w:r>
      <w:r w:rsidR="003321C9">
        <w:rPr>
          <w:color w:val="auto"/>
          <w:sz w:val="22"/>
          <w:szCs w:val="22"/>
          <w:lang w:val="uk-UA"/>
        </w:rPr>
        <w:t xml:space="preserve">у структуру </w:t>
      </w:r>
      <w:r w:rsidRPr="00124FF7">
        <w:rPr>
          <w:color w:val="auto"/>
          <w:sz w:val="22"/>
          <w:szCs w:val="22"/>
          <w:lang w:val="uk-UA"/>
        </w:rPr>
        <w:t xml:space="preserve">та порядок денний для </w:t>
      </w:r>
      <w:r w:rsidR="00FA357F">
        <w:rPr>
          <w:color w:val="auto"/>
          <w:sz w:val="22"/>
          <w:szCs w:val="22"/>
          <w:lang w:val="uk-UA"/>
        </w:rPr>
        <w:t>проведення</w:t>
      </w:r>
      <w:r w:rsidRPr="00124FF7">
        <w:rPr>
          <w:color w:val="auto"/>
          <w:sz w:val="22"/>
          <w:szCs w:val="22"/>
          <w:lang w:val="uk-UA"/>
        </w:rPr>
        <w:t xml:space="preserve"> сесій </w:t>
      </w:r>
      <w:r w:rsidR="003321C9">
        <w:rPr>
          <w:color w:val="auto"/>
          <w:sz w:val="22"/>
          <w:szCs w:val="22"/>
          <w:lang w:val="uk-UA"/>
        </w:rPr>
        <w:t xml:space="preserve">стратегічного планування </w:t>
      </w:r>
      <w:r w:rsidRPr="00124FF7">
        <w:rPr>
          <w:color w:val="auto"/>
          <w:sz w:val="22"/>
          <w:szCs w:val="22"/>
          <w:lang w:val="uk-UA"/>
        </w:rPr>
        <w:t>з визначеними цілями та очікуваними результатами.</w:t>
      </w:r>
    </w:p>
    <w:p w14:paraId="1F2E7C3D" w14:textId="48B85AC9" w:rsidR="00807C04" w:rsidRPr="00124FF7" w:rsidRDefault="00807C04" w:rsidP="00807C04">
      <w:pPr>
        <w:pStyle w:val="Default"/>
        <w:numPr>
          <w:ilvl w:val="0"/>
          <w:numId w:val="15"/>
        </w:numPr>
        <w:rPr>
          <w:color w:val="auto"/>
          <w:sz w:val="22"/>
          <w:szCs w:val="22"/>
          <w:lang w:val="uk-UA"/>
        </w:rPr>
      </w:pPr>
      <w:r w:rsidRPr="00124FF7">
        <w:rPr>
          <w:b/>
          <w:bCs/>
          <w:color w:val="auto"/>
          <w:sz w:val="22"/>
          <w:szCs w:val="22"/>
          <w:lang w:val="uk-UA"/>
        </w:rPr>
        <w:t>Встановлення очікувань</w:t>
      </w:r>
      <w:r w:rsidRPr="00124FF7">
        <w:rPr>
          <w:color w:val="auto"/>
          <w:sz w:val="22"/>
          <w:szCs w:val="22"/>
          <w:lang w:val="uk-UA"/>
        </w:rPr>
        <w:t>: Встанов</w:t>
      </w:r>
      <w:r w:rsidR="003321C9">
        <w:rPr>
          <w:color w:val="auto"/>
          <w:sz w:val="22"/>
          <w:szCs w:val="22"/>
          <w:lang w:val="uk-UA"/>
        </w:rPr>
        <w:t>ити</w:t>
      </w:r>
      <w:r w:rsidRPr="00124FF7">
        <w:rPr>
          <w:color w:val="auto"/>
          <w:sz w:val="22"/>
          <w:szCs w:val="22"/>
          <w:lang w:val="uk-UA"/>
        </w:rPr>
        <w:t xml:space="preserve"> обсяг</w:t>
      </w:r>
      <w:r w:rsidR="00ED4770" w:rsidRPr="00ED4770">
        <w:rPr>
          <w:color w:val="auto"/>
          <w:sz w:val="22"/>
          <w:szCs w:val="22"/>
          <w:lang w:val="ru-RU"/>
        </w:rPr>
        <w:t xml:space="preserve"> </w:t>
      </w:r>
      <w:r w:rsidR="00ED4770">
        <w:rPr>
          <w:color w:val="auto"/>
          <w:sz w:val="22"/>
          <w:szCs w:val="22"/>
          <w:lang w:val="uk-UA"/>
        </w:rPr>
        <w:t>робіт</w:t>
      </w:r>
      <w:r w:rsidRPr="00124FF7">
        <w:rPr>
          <w:color w:val="auto"/>
          <w:sz w:val="22"/>
          <w:szCs w:val="22"/>
          <w:lang w:val="uk-UA"/>
        </w:rPr>
        <w:t>, результати та часові рамки, уточнивши ролі та внесок для всіх учасників.</w:t>
      </w:r>
    </w:p>
    <w:p w14:paraId="2B7629C2" w14:textId="77777777" w:rsidR="00317A6B" w:rsidRPr="00124FF7" w:rsidRDefault="00317A6B" w:rsidP="00807C04">
      <w:pPr>
        <w:pStyle w:val="Default"/>
        <w:rPr>
          <w:b/>
          <w:bCs/>
          <w:color w:val="auto"/>
          <w:sz w:val="22"/>
          <w:szCs w:val="22"/>
          <w:lang w:val="uk-UA"/>
        </w:rPr>
      </w:pPr>
    </w:p>
    <w:p w14:paraId="5560E309" w14:textId="2DC5731F" w:rsidR="00807C04" w:rsidRPr="00124FF7" w:rsidRDefault="00807C04" w:rsidP="00807C04">
      <w:pPr>
        <w:pStyle w:val="Default"/>
        <w:rPr>
          <w:color w:val="auto"/>
          <w:sz w:val="22"/>
          <w:szCs w:val="22"/>
          <w:lang w:val="uk-UA"/>
        </w:rPr>
      </w:pPr>
      <w:r w:rsidRPr="00124FF7">
        <w:rPr>
          <w:b/>
          <w:bCs/>
          <w:color w:val="auto"/>
          <w:sz w:val="22"/>
          <w:szCs w:val="22"/>
          <w:lang w:val="uk-UA"/>
        </w:rPr>
        <w:t>Консультативні семінари</w:t>
      </w:r>
      <w:r w:rsidR="007575B8">
        <w:rPr>
          <w:b/>
          <w:bCs/>
          <w:color w:val="auto"/>
          <w:sz w:val="22"/>
          <w:szCs w:val="22"/>
          <w:lang w:val="uk-UA"/>
        </w:rPr>
        <w:t xml:space="preserve"> / інтервенції</w:t>
      </w:r>
    </w:p>
    <w:p w14:paraId="00F2B6ED" w14:textId="6A28B4DF" w:rsidR="00807C04" w:rsidRPr="00124FF7" w:rsidRDefault="00807C04" w:rsidP="00807C04">
      <w:pPr>
        <w:pStyle w:val="Default"/>
        <w:numPr>
          <w:ilvl w:val="0"/>
          <w:numId w:val="16"/>
        </w:numPr>
        <w:rPr>
          <w:color w:val="auto"/>
          <w:sz w:val="22"/>
          <w:szCs w:val="22"/>
          <w:lang w:val="uk-UA"/>
        </w:rPr>
      </w:pPr>
      <w:r w:rsidRPr="00124FF7">
        <w:rPr>
          <w:b/>
          <w:bCs/>
          <w:color w:val="auto"/>
          <w:sz w:val="22"/>
          <w:szCs w:val="22"/>
          <w:lang w:val="uk-UA"/>
        </w:rPr>
        <w:t>Фасилітація</w:t>
      </w:r>
      <w:r w:rsidRPr="00124FF7">
        <w:rPr>
          <w:color w:val="auto"/>
          <w:sz w:val="22"/>
          <w:szCs w:val="22"/>
          <w:lang w:val="uk-UA"/>
        </w:rPr>
        <w:t>: Пров</w:t>
      </w:r>
      <w:r w:rsidR="00617D3F">
        <w:rPr>
          <w:color w:val="auto"/>
          <w:sz w:val="22"/>
          <w:szCs w:val="22"/>
          <w:lang w:val="uk-UA"/>
        </w:rPr>
        <w:t>е</w:t>
      </w:r>
      <w:r w:rsidR="00395A9D">
        <w:rPr>
          <w:color w:val="auto"/>
          <w:sz w:val="22"/>
          <w:szCs w:val="22"/>
          <w:lang w:val="uk-UA"/>
        </w:rPr>
        <w:t>сти</w:t>
      </w:r>
      <w:r w:rsidRPr="00124FF7">
        <w:rPr>
          <w:color w:val="auto"/>
          <w:sz w:val="22"/>
          <w:szCs w:val="22"/>
          <w:lang w:val="uk-UA"/>
        </w:rPr>
        <w:t xml:space="preserve"> семінари</w:t>
      </w:r>
      <w:r w:rsidR="00D97ABD">
        <w:rPr>
          <w:color w:val="auto"/>
          <w:sz w:val="22"/>
          <w:szCs w:val="22"/>
          <w:lang w:val="uk-UA"/>
        </w:rPr>
        <w:t xml:space="preserve"> / інтервенції</w:t>
      </w:r>
      <w:r w:rsidRPr="00124FF7">
        <w:rPr>
          <w:color w:val="auto"/>
          <w:sz w:val="22"/>
          <w:szCs w:val="22"/>
          <w:lang w:val="uk-UA"/>
        </w:rPr>
        <w:t xml:space="preserve"> для збору та визначення пріоритетності ідей.</w:t>
      </w:r>
    </w:p>
    <w:p w14:paraId="3D486730" w14:textId="49487350" w:rsidR="00317A6B" w:rsidRPr="00124FF7" w:rsidRDefault="00807C04" w:rsidP="00317A6B">
      <w:pPr>
        <w:pStyle w:val="Default"/>
        <w:numPr>
          <w:ilvl w:val="0"/>
          <w:numId w:val="16"/>
        </w:numPr>
        <w:rPr>
          <w:color w:val="auto"/>
          <w:sz w:val="22"/>
          <w:szCs w:val="22"/>
          <w:lang w:val="uk-UA"/>
        </w:rPr>
      </w:pPr>
      <w:r w:rsidRPr="00124FF7">
        <w:rPr>
          <w:b/>
          <w:bCs/>
          <w:color w:val="auto"/>
          <w:sz w:val="22"/>
          <w:szCs w:val="22"/>
          <w:lang w:val="uk-UA"/>
        </w:rPr>
        <w:t>Документація</w:t>
      </w:r>
      <w:r w:rsidRPr="00124FF7">
        <w:rPr>
          <w:color w:val="auto"/>
          <w:sz w:val="22"/>
          <w:szCs w:val="22"/>
          <w:lang w:val="uk-UA"/>
        </w:rPr>
        <w:t xml:space="preserve">: </w:t>
      </w:r>
      <w:r w:rsidR="00D97ABD">
        <w:rPr>
          <w:color w:val="auto"/>
          <w:sz w:val="22"/>
          <w:szCs w:val="22"/>
          <w:lang w:val="uk-UA"/>
        </w:rPr>
        <w:t>Зад</w:t>
      </w:r>
      <w:r w:rsidR="00617D3F">
        <w:rPr>
          <w:color w:val="auto"/>
          <w:sz w:val="22"/>
          <w:szCs w:val="22"/>
          <w:lang w:val="uk-UA"/>
        </w:rPr>
        <w:t>окументувати</w:t>
      </w:r>
      <w:r w:rsidRPr="00124FF7">
        <w:rPr>
          <w:color w:val="auto"/>
          <w:sz w:val="22"/>
          <w:szCs w:val="22"/>
          <w:lang w:val="uk-UA"/>
        </w:rPr>
        <w:t xml:space="preserve"> обговорення, ключові моменти та дії з семінарів</w:t>
      </w:r>
      <w:r w:rsidR="00D97ABD">
        <w:rPr>
          <w:color w:val="auto"/>
          <w:sz w:val="22"/>
          <w:szCs w:val="22"/>
          <w:lang w:val="uk-UA"/>
        </w:rPr>
        <w:t xml:space="preserve"> / інтервенцій</w:t>
      </w:r>
      <w:r w:rsidRPr="00124FF7">
        <w:rPr>
          <w:color w:val="auto"/>
          <w:sz w:val="22"/>
          <w:szCs w:val="22"/>
          <w:lang w:val="uk-UA"/>
        </w:rPr>
        <w:t>.</w:t>
      </w:r>
    </w:p>
    <w:p w14:paraId="13536447" w14:textId="08DAA42F" w:rsidR="00545C11" w:rsidRPr="00124FF7" w:rsidRDefault="00807C04" w:rsidP="00545C11">
      <w:pPr>
        <w:pStyle w:val="Default"/>
        <w:numPr>
          <w:ilvl w:val="0"/>
          <w:numId w:val="16"/>
        </w:numPr>
        <w:rPr>
          <w:color w:val="auto"/>
          <w:sz w:val="22"/>
          <w:szCs w:val="22"/>
          <w:lang w:val="uk-UA"/>
        </w:rPr>
      </w:pPr>
      <w:r w:rsidRPr="00124FF7">
        <w:rPr>
          <w:b/>
          <w:bCs/>
          <w:color w:val="auto"/>
          <w:sz w:val="22"/>
          <w:szCs w:val="22"/>
          <w:lang w:val="uk-UA"/>
        </w:rPr>
        <w:t>Стратегічні інновації</w:t>
      </w:r>
      <w:r w:rsidRPr="00124FF7">
        <w:rPr>
          <w:color w:val="auto"/>
          <w:sz w:val="22"/>
          <w:szCs w:val="22"/>
          <w:lang w:val="uk-UA"/>
        </w:rPr>
        <w:t xml:space="preserve">: </w:t>
      </w:r>
      <w:r w:rsidR="000D4AF6">
        <w:rPr>
          <w:color w:val="auto"/>
          <w:sz w:val="22"/>
          <w:szCs w:val="22"/>
          <w:lang w:val="uk-UA"/>
        </w:rPr>
        <w:t xml:space="preserve">Направляти </w:t>
      </w:r>
      <w:r w:rsidR="00D97ABD">
        <w:rPr>
          <w:color w:val="auto"/>
          <w:sz w:val="22"/>
          <w:szCs w:val="22"/>
          <w:lang w:val="uk-UA"/>
        </w:rPr>
        <w:t xml:space="preserve">і підтримувати </w:t>
      </w:r>
      <w:r w:rsidR="000D4AF6">
        <w:rPr>
          <w:color w:val="auto"/>
          <w:sz w:val="22"/>
          <w:szCs w:val="22"/>
          <w:lang w:val="uk-UA"/>
        </w:rPr>
        <w:t>к</w:t>
      </w:r>
      <w:r w:rsidRPr="00124FF7">
        <w:rPr>
          <w:color w:val="auto"/>
          <w:sz w:val="22"/>
          <w:szCs w:val="22"/>
          <w:lang w:val="uk-UA"/>
        </w:rPr>
        <w:t xml:space="preserve">ерівництво </w:t>
      </w:r>
      <w:r w:rsidR="00124FF7">
        <w:rPr>
          <w:color w:val="auto"/>
          <w:sz w:val="22"/>
          <w:szCs w:val="22"/>
          <w:lang w:val="uk-UA"/>
        </w:rPr>
        <w:t>ТЧХУ</w:t>
      </w:r>
      <w:r w:rsidRPr="00124FF7">
        <w:rPr>
          <w:color w:val="auto"/>
          <w:sz w:val="22"/>
          <w:szCs w:val="22"/>
          <w:lang w:val="uk-UA"/>
        </w:rPr>
        <w:t xml:space="preserve"> у киданні викликів поточним підходам, </w:t>
      </w:r>
      <w:r w:rsidR="006A7513">
        <w:rPr>
          <w:color w:val="auto"/>
          <w:sz w:val="22"/>
          <w:szCs w:val="22"/>
          <w:lang w:val="uk-UA"/>
        </w:rPr>
        <w:t xml:space="preserve">у </w:t>
      </w:r>
      <w:r w:rsidRPr="00124FF7">
        <w:rPr>
          <w:color w:val="auto"/>
          <w:sz w:val="22"/>
          <w:szCs w:val="22"/>
          <w:lang w:val="uk-UA"/>
        </w:rPr>
        <w:t>вивченні нових варіантів</w:t>
      </w:r>
      <w:r w:rsidR="00934C7F">
        <w:rPr>
          <w:color w:val="auto"/>
          <w:sz w:val="22"/>
          <w:szCs w:val="22"/>
          <w:lang w:val="uk-UA"/>
        </w:rPr>
        <w:t>,</w:t>
      </w:r>
      <w:r w:rsidRPr="00124FF7">
        <w:rPr>
          <w:color w:val="auto"/>
          <w:sz w:val="22"/>
          <w:szCs w:val="22"/>
          <w:lang w:val="uk-UA"/>
        </w:rPr>
        <w:t xml:space="preserve"> та </w:t>
      </w:r>
      <w:r w:rsidR="006A7513">
        <w:rPr>
          <w:color w:val="auto"/>
          <w:sz w:val="22"/>
          <w:szCs w:val="22"/>
          <w:lang w:val="uk-UA"/>
        </w:rPr>
        <w:t xml:space="preserve">у </w:t>
      </w:r>
      <w:r w:rsidRPr="00124FF7">
        <w:rPr>
          <w:color w:val="auto"/>
          <w:sz w:val="22"/>
          <w:szCs w:val="22"/>
          <w:lang w:val="uk-UA"/>
        </w:rPr>
        <w:t>розроб</w:t>
      </w:r>
      <w:r w:rsidR="006A7513">
        <w:rPr>
          <w:color w:val="auto"/>
          <w:sz w:val="22"/>
          <w:szCs w:val="22"/>
          <w:lang w:val="uk-UA"/>
        </w:rPr>
        <w:t>ці</w:t>
      </w:r>
      <w:r w:rsidRPr="00124FF7">
        <w:rPr>
          <w:color w:val="auto"/>
          <w:sz w:val="22"/>
          <w:szCs w:val="22"/>
          <w:lang w:val="uk-UA"/>
        </w:rPr>
        <w:t xml:space="preserve"> стратегій </w:t>
      </w:r>
      <w:r w:rsidR="006A7513">
        <w:rPr>
          <w:color w:val="auto"/>
          <w:sz w:val="22"/>
          <w:szCs w:val="22"/>
          <w:lang w:val="uk-UA"/>
        </w:rPr>
        <w:t xml:space="preserve">і планів </w:t>
      </w:r>
      <w:r w:rsidRPr="00124FF7">
        <w:rPr>
          <w:color w:val="auto"/>
          <w:sz w:val="22"/>
          <w:szCs w:val="22"/>
          <w:lang w:val="uk-UA"/>
        </w:rPr>
        <w:t>для досягнення своїх цілей.</w:t>
      </w:r>
    </w:p>
    <w:p w14:paraId="4CFD17A9" w14:textId="77777777" w:rsidR="00545C11" w:rsidRPr="00124FF7" w:rsidRDefault="00545C11" w:rsidP="00545C11">
      <w:pPr>
        <w:pStyle w:val="Default"/>
        <w:ind w:left="720"/>
        <w:rPr>
          <w:color w:val="auto"/>
          <w:sz w:val="22"/>
          <w:szCs w:val="22"/>
          <w:lang w:val="uk-UA"/>
        </w:rPr>
      </w:pPr>
    </w:p>
    <w:p w14:paraId="762B0C89" w14:textId="6E309A1D" w:rsidR="00545C11" w:rsidRPr="00124FF7" w:rsidRDefault="00545C11" w:rsidP="00545C11">
      <w:pPr>
        <w:pStyle w:val="Default"/>
        <w:rPr>
          <w:color w:val="auto"/>
          <w:sz w:val="22"/>
          <w:szCs w:val="22"/>
          <w:lang w:val="uk-UA"/>
        </w:rPr>
      </w:pPr>
      <w:r w:rsidRPr="00124FF7">
        <w:rPr>
          <w:b/>
          <w:bCs/>
          <w:color w:val="auto"/>
          <w:sz w:val="22"/>
          <w:szCs w:val="22"/>
          <w:lang w:val="uk-UA"/>
        </w:rPr>
        <w:t>Розробка документа Стратегічного плану</w:t>
      </w:r>
    </w:p>
    <w:p w14:paraId="6E616B4B" w14:textId="2C501E63" w:rsidR="002A3743" w:rsidRPr="00124FF7" w:rsidRDefault="002A3743" w:rsidP="00545C11">
      <w:pPr>
        <w:pStyle w:val="Default"/>
        <w:numPr>
          <w:ilvl w:val="0"/>
          <w:numId w:val="19"/>
        </w:numPr>
        <w:rPr>
          <w:color w:val="auto"/>
          <w:sz w:val="22"/>
          <w:szCs w:val="22"/>
          <w:lang w:val="uk-UA"/>
        </w:rPr>
      </w:pPr>
      <w:r w:rsidRPr="00124FF7">
        <w:rPr>
          <w:color w:val="auto"/>
          <w:sz w:val="22"/>
          <w:szCs w:val="22"/>
          <w:lang w:val="uk-UA"/>
        </w:rPr>
        <w:t>Запропону</w:t>
      </w:r>
      <w:r w:rsidR="003571B1">
        <w:rPr>
          <w:color w:val="auto"/>
          <w:sz w:val="22"/>
          <w:szCs w:val="22"/>
          <w:lang w:val="uk-UA"/>
        </w:rPr>
        <w:t>вати</w:t>
      </w:r>
      <w:r w:rsidRPr="00124FF7">
        <w:rPr>
          <w:color w:val="auto"/>
          <w:sz w:val="22"/>
          <w:szCs w:val="22"/>
          <w:lang w:val="uk-UA"/>
        </w:rPr>
        <w:t xml:space="preserve"> кілька методологій на вибір для складання Стратегічного плану, представляючи плюси та мінуси цих методологій у контексті ТЧХУ</w:t>
      </w:r>
      <w:r w:rsidR="003571B1">
        <w:rPr>
          <w:color w:val="auto"/>
          <w:sz w:val="22"/>
          <w:szCs w:val="22"/>
          <w:lang w:val="uk-UA"/>
        </w:rPr>
        <w:t>.</w:t>
      </w:r>
    </w:p>
    <w:p w14:paraId="53A456A5" w14:textId="77777777" w:rsidR="003811E4" w:rsidRPr="00124FF7" w:rsidRDefault="003811E4" w:rsidP="00D109FD">
      <w:pPr>
        <w:pStyle w:val="Default"/>
        <w:rPr>
          <w:color w:val="auto"/>
          <w:sz w:val="22"/>
          <w:szCs w:val="22"/>
          <w:lang w:val="uk-UA"/>
        </w:rPr>
      </w:pPr>
    </w:p>
    <w:p w14:paraId="684D1BFC" w14:textId="430D7023" w:rsidR="00573B86" w:rsidRPr="00124FF7" w:rsidRDefault="00C5184F" w:rsidP="00D109FD">
      <w:pPr>
        <w:pStyle w:val="Default"/>
        <w:rPr>
          <w:b/>
          <w:bCs/>
          <w:color w:val="auto"/>
          <w:u w:val="single"/>
          <w:lang w:val="uk-UA"/>
        </w:rPr>
      </w:pPr>
      <w:r w:rsidRPr="00124FF7">
        <w:rPr>
          <w:b/>
          <w:bCs/>
          <w:color w:val="auto"/>
          <w:u w:val="single"/>
          <w:lang w:val="uk-UA"/>
        </w:rPr>
        <w:t>Досвід та вимоги</w:t>
      </w:r>
    </w:p>
    <w:p w14:paraId="6D26A727" w14:textId="686FA388" w:rsidR="0004094A" w:rsidRPr="00124FF7" w:rsidRDefault="0004094A" w:rsidP="0004094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uk-UA"/>
          <w14:ligatures w14:val="none"/>
        </w:rPr>
      </w:pPr>
      <w:r w:rsidRPr="00124FF7">
        <w:rPr>
          <w:rFonts w:ascii="Calibri" w:eastAsia="Times New Roman" w:hAnsi="Calibri" w:cs="Calibri"/>
          <w:kern w:val="0"/>
          <w:lang w:val="uk-UA"/>
          <w14:ligatures w14:val="none"/>
        </w:rPr>
        <w:lastRenderedPageBreak/>
        <w:t xml:space="preserve">Відмінний комунікатор з продемонстрованим </w:t>
      </w:r>
      <w:r w:rsidR="003571B1">
        <w:rPr>
          <w:rFonts w:ascii="Calibri" w:eastAsia="Times New Roman" w:hAnsi="Calibri" w:cs="Calibri"/>
          <w:kern w:val="0"/>
          <w:lang w:val="uk-UA"/>
          <w14:ligatures w14:val="none"/>
        </w:rPr>
        <w:t xml:space="preserve">не менш ніж </w:t>
      </w:r>
      <w:r w:rsidRPr="00124FF7">
        <w:rPr>
          <w:rFonts w:ascii="Calibri" w:eastAsia="Times New Roman" w:hAnsi="Calibri" w:cs="Calibri"/>
          <w:kern w:val="0"/>
          <w:lang w:val="uk-UA"/>
          <w14:ligatures w14:val="none"/>
        </w:rPr>
        <w:t>5-річним досвідом проведення подібної роботи</w:t>
      </w:r>
    </w:p>
    <w:p w14:paraId="65F63EFC" w14:textId="77777777" w:rsidR="00166EE7" w:rsidRPr="00124FF7" w:rsidRDefault="00B9729D" w:rsidP="0004094A">
      <w:pPr>
        <w:pStyle w:val="Default"/>
        <w:numPr>
          <w:ilvl w:val="0"/>
          <w:numId w:val="9"/>
        </w:numPr>
        <w:rPr>
          <w:color w:val="auto"/>
          <w:sz w:val="22"/>
          <w:szCs w:val="22"/>
          <w:lang w:val="uk-UA"/>
        </w:rPr>
      </w:pPr>
      <w:r w:rsidRPr="00124FF7">
        <w:rPr>
          <w:color w:val="auto"/>
          <w:sz w:val="22"/>
          <w:szCs w:val="22"/>
          <w:lang w:val="uk-UA"/>
        </w:rPr>
        <w:t xml:space="preserve">Перевірена успішна методика / інструменти </w:t>
      </w:r>
    </w:p>
    <w:p w14:paraId="24D11214" w14:textId="0EDA40D7" w:rsidR="00862D6C" w:rsidRPr="00124FF7" w:rsidRDefault="0004094A" w:rsidP="0004094A">
      <w:pPr>
        <w:pStyle w:val="Default"/>
        <w:numPr>
          <w:ilvl w:val="0"/>
          <w:numId w:val="9"/>
        </w:numPr>
        <w:rPr>
          <w:color w:val="auto"/>
          <w:sz w:val="22"/>
          <w:szCs w:val="22"/>
          <w:lang w:val="uk-UA"/>
        </w:rPr>
      </w:pPr>
      <w:r w:rsidRPr="00124FF7">
        <w:rPr>
          <w:color w:val="auto"/>
          <w:sz w:val="22"/>
          <w:szCs w:val="22"/>
          <w:lang w:val="uk-UA"/>
        </w:rPr>
        <w:t xml:space="preserve">Досвід та підтверджений послужний список проведення успішних стратегічних сесій для великих та середніх організацій/бізнесу. </w:t>
      </w:r>
    </w:p>
    <w:p w14:paraId="03AF4F67" w14:textId="7B215634" w:rsidR="00862D6C" w:rsidRPr="00124FF7" w:rsidRDefault="004F0B69" w:rsidP="00862D6C">
      <w:pPr>
        <w:pStyle w:val="Default"/>
        <w:numPr>
          <w:ilvl w:val="0"/>
          <w:numId w:val="9"/>
        </w:numPr>
        <w:rPr>
          <w:color w:val="auto"/>
          <w:sz w:val="22"/>
          <w:szCs w:val="22"/>
          <w:lang w:val="uk-UA"/>
        </w:rPr>
      </w:pPr>
      <w:r w:rsidRPr="00124FF7">
        <w:rPr>
          <w:color w:val="auto"/>
          <w:sz w:val="22"/>
          <w:szCs w:val="22"/>
          <w:lang w:val="uk-UA"/>
        </w:rPr>
        <w:t>Робочі знання в гуманітарному секторі/секторі розвитку, зна</w:t>
      </w:r>
      <w:r w:rsidR="002D354F">
        <w:rPr>
          <w:color w:val="auto"/>
          <w:sz w:val="22"/>
          <w:szCs w:val="22"/>
          <w:lang w:val="uk-UA"/>
        </w:rPr>
        <w:t>ння</w:t>
      </w:r>
      <w:r w:rsidRPr="00124FF7">
        <w:rPr>
          <w:color w:val="auto"/>
          <w:sz w:val="22"/>
          <w:szCs w:val="22"/>
          <w:lang w:val="uk-UA"/>
        </w:rPr>
        <w:t xml:space="preserve"> галузево</w:t>
      </w:r>
      <w:r w:rsidR="002D354F">
        <w:rPr>
          <w:color w:val="auto"/>
          <w:sz w:val="22"/>
          <w:szCs w:val="22"/>
          <w:lang w:val="uk-UA"/>
        </w:rPr>
        <w:t>ї</w:t>
      </w:r>
      <w:r w:rsidRPr="00124FF7">
        <w:rPr>
          <w:color w:val="auto"/>
          <w:sz w:val="22"/>
          <w:szCs w:val="22"/>
          <w:lang w:val="uk-UA"/>
        </w:rPr>
        <w:t xml:space="preserve"> мов</w:t>
      </w:r>
      <w:r w:rsidR="002D354F">
        <w:rPr>
          <w:color w:val="auto"/>
          <w:sz w:val="22"/>
          <w:szCs w:val="22"/>
          <w:lang w:val="uk-UA"/>
        </w:rPr>
        <w:t>и</w:t>
      </w:r>
      <w:r w:rsidRPr="00124FF7">
        <w:rPr>
          <w:color w:val="auto"/>
          <w:sz w:val="22"/>
          <w:szCs w:val="22"/>
          <w:lang w:val="uk-UA"/>
        </w:rPr>
        <w:t>, термін</w:t>
      </w:r>
      <w:r w:rsidR="002D354F">
        <w:rPr>
          <w:color w:val="auto"/>
          <w:sz w:val="22"/>
          <w:szCs w:val="22"/>
          <w:lang w:val="uk-UA"/>
        </w:rPr>
        <w:t>ів</w:t>
      </w:r>
      <w:r w:rsidRPr="00124FF7">
        <w:rPr>
          <w:color w:val="auto"/>
          <w:sz w:val="22"/>
          <w:szCs w:val="22"/>
          <w:lang w:val="uk-UA"/>
        </w:rPr>
        <w:t xml:space="preserve"> та нюанс</w:t>
      </w:r>
      <w:r w:rsidR="002D354F">
        <w:rPr>
          <w:color w:val="auto"/>
          <w:sz w:val="22"/>
          <w:szCs w:val="22"/>
          <w:lang w:val="uk-UA"/>
        </w:rPr>
        <w:t>ів</w:t>
      </w:r>
      <w:r w:rsidRPr="00124FF7">
        <w:rPr>
          <w:color w:val="auto"/>
          <w:sz w:val="22"/>
          <w:szCs w:val="22"/>
          <w:lang w:val="uk-UA"/>
        </w:rPr>
        <w:t>. Багатогалузеві знання є додатковою перевагою.</w:t>
      </w:r>
    </w:p>
    <w:p w14:paraId="7DE1DDF2" w14:textId="0824E0D4" w:rsidR="00862D6C" w:rsidRPr="00124FF7" w:rsidRDefault="00862D6C" w:rsidP="00862D6C">
      <w:pPr>
        <w:pStyle w:val="Default"/>
        <w:numPr>
          <w:ilvl w:val="0"/>
          <w:numId w:val="9"/>
        </w:numPr>
        <w:rPr>
          <w:color w:val="auto"/>
          <w:sz w:val="22"/>
          <w:szCs w:val="22"/>
          <w:lang w:val="uk-UA"/>
        </w:rPr>
      </w:pPr>
      <w:r w:rsidRPr="00124FF7">
        <w:rPr>
          <w:color w:val="auto"/>
          <w:sz w:val="22"/>
          <w:szCs w:val="22"/>
          <w:lang w:val="uk-UA"/>
        </w:rPr>
        <w:t>Здатність пояснювати документи та виявляти проблеми.</w:t>
      </w:r>
    </w:p>
    <w:p w14:paraId="5D0C926F" w14:textId="09D1D7E5" w:rsidR="00862D6C" w:rsidRPr="00124FF7" w:rsidRDefault="00862D6C" w:rsidP="00862D6C">
      <w:pPr>
        <w:pStyle w:val="Default"/>
        <w:numPr>
          <w:ilvl w:val="0"/>
          <w:numId w:val="9"/>
        </w:numPr>
        <w:rPr>
          <w:color w:val="auto"/>
          <w:sz w:val="22"/>
          <w:szCs w:val="22"/>
          <w:lang w:val="uk-UA"/>
        </w:rPr>
      </w:pPr>
      <w:r w:rsidRPr="00124FF7">
        <w:rPr>
          <w:color w:val="auto"/>
          <w:sz w:val="22"/>
          <w:szCs w:val="22"/>
          <w:lang w:val="uk-UA"/>
        </w:rPr>
        <w:t>Сильні навички фасилітації та досвід роботи з інструментами та термінами стратегічного планування.</w:t>
      </w:r>
    </w:p>
    <w:p w14:paraId="741C7F5C" w14:textId="35E06471" w:rsidR="00862D6C" w:rsidRPr="00124FF7" w:rsidRDefault="00862D6C" w:rsidP="00862D6C">
      <w:pPr>
        <w:pStyle w:val="Default"/>
        <w:numPr>
          <w:ilvl w:val="0"/>
          <w:numId w:val="9"/>
        </w:numPr>
        <w:rPr>
          <w:color w:val="auto"/>
          <w:sz w:val="22"/>
          <w:szCs w:val="22"/>
          <w:lang w:val="uk-UA"/>
        </w:rPr>
      </w:pPr>
      <w:r w:rsidRPr="00124FF7">
        <w:rPr>
          <w:color w:val="auto"/>
          <w:sz w:val="22"/>
          <w:szCs w:val="22"/>
          <w:lang w:val="uk-UA"/>
        </w:rPr>
        <w:t>Навички наставництва та коучингу.</w:t>
      </w:r>
    </w:p>
    <w:p w14:paraId="651D9373" w14:textId="0EC8B9F1" w:rsidR="003A2554" w:rsidRPr="00124FF7" w:rsidRDefault="00862D6C" w:rsidP="00862D6C">
      <w:pPr>
        <w:pStyle w:val="Default"/>
        <w:numPr>
          <w:ilvl w:val="0"/>
          <w:numId w:val="9"/>
        </w:numPr>
        <w:rPr>
          <w:color w:val="auto"/>
          <w:sz w:val="22"/>
          <w:szCs w:val="22"/>
          <w:lang w:val="uk-UA"/>
        </w:rPr>
      </w:pPr>
      <w:r w:rsidRPr="00124FF7">
        <w:rPr>
          <w:color w:val="auto"/>
          <w:sz w:val="22"/>
          <w:szCs w:val="22"/>
          <w:lang w:val="uk-UA"/>
        </w:rPr>
        <w:t>Вільно володіє англійською та українською мовами (бажано).</w:t>
      </w:r>
    </w:p>
    <w:p w14:paraId="771EB61D" w14:textId="77777777" w:rsidR="00B05D10" w:rsidRPr="00124FF7" w:rsidRDefault="00B05D10" w:rsidP="00484109">
      <w:pPr>
        <w:pStyle w:val="Default"/>
        <w:rPr>
          <w:color w:val="auto"/>
          <w:sz w:val="22"/>
          <w:szCs w:val="22"/>
          <w:lang w:val="uk-UA"/>
        </w:rPr>
      </w:pPr>
    </w:p>
    <w:p w14:paraId="59361F6B" w14:textId="1634BCF8" w:rsidR="008B7B59" w:rsidRPr="00124FF7" w:rsidRDefault="008B7B59" w:rsidP="008B7B59">
      <w:pPr>
        <w:pStyle w:val="Default"/>
        <w:rPr>
          <w:b/>
          <w:bCs/>
          <w:color w:val="auto"/>
          <w:u w:val="single"/>
          <w:lang w:val="uk-UA"/>
        </w:rPr>
      </w:pPr>
      <w:r w:rsidRPr="00124FF7">
        <w:rPr>
          <w:b/>
          <w:bCs/>
          <w:color w:val="auto"/>
          <w:u w:val="single"/>
          <w:lang w:val="uk-UA"/>
        </w:rPr>
        <w:t>Управління та часові рамки</w:t>
      </w:r>
    </w:p>
    <w:p w14:paraId="1F6EFFD5" w14:textId="173F7B6B" w:rsidR="00CA3886" w:rsidRPr="00124FF7" w:rsidRDefault="00A73AC3" w:rsidP="006B41B1">
      <w:pPr>
        <w:pStyle w:val="Default"/>
        <w:rPr>
          <w:color w:val="auto"/>
          <w:sz w:val="22"/>
          <w:szCs w:val="22"/>
          <w:lang w:val="uk-UA"/>
        </w:rPr>
      </w:pPr>
      <w:r w:rsidRPr="00124FF7">
        <w:rPr>
          <w:color w:val="auto"/>
          <w:sz w:val="22"/>
          <w:szCs w:val="22"/>
          <w:lang w:val="uk-UA"/>
        </w:rPr>
        <w:t xml:space="preserve">Постачальник послуг підпорядковуватиметься безпосередньо заступнику Генерального директора NSD. </w:t>
      </w:r>
    </w:p>
    <w:p w14:paraId="0FAA67BC" w14:textId="37CF1BEC" w:rsidR="006B41B1" w:rsidRPr="00124FF7" w:rsidRDefault="006B41B1" w:rsidP="006B41B1">
      <w:pPr>
        <w:pStyle w:val="Default"/>
        <w:rPr>
          <w:color w:val="auto"/>
          <w:sz w:val="22"/>
          <w:szCs w:val="22"/>
          <w:lang w:val="uk-UA"/>
        </w:rPr>
      </w:pPr>
      <w:r w:rsidRPr="00124FF7">
        <w:rPr>
          <w:color w:val="auto"/>
          <w:sz w:val="22"/>
          <w:szCs w:val="22"/>
          <w:lang w:val="uk-UA"/>
        </w:rPr>
        <w:t>Надана підтримка включатиме:</w:t>
      </w:r>
    </w:p>
    <w:p w14:paraId="01435974" w14:textId="3076E188" w:rsidR="006B41B1" w:rsidRPr="00124FF7" w:rsidRDefault="006B41B1" w:rsidP="006B41B1">
      <w:pPr>
        <w:pStyle w:val="Default"/>
        <w:numPr>
          <w:ilvl w:val="0"/>
          <w:numId w:val="17"/>
        </w:numPr>
        <w:rPr>
          <w:color w:val="auto"/>
          <w:sz w:val="22"/>
          <w:szCs w:val="22"/>
          <w:lang w:val="uk-UA"/>
        </w:rPr>
      </w:pPr>
      <w:r w:rsidRPr="00124FF7">
        <w:rPr>
          <w:color w:val="auto"/>
          <w:sz w:val="22"/>
          <w:szCs w:val="22"/>
          <w:lang w:val="uk-UA"/>
        </w:rPr>
        <w:t>Доступ до документів і даних</w:t>
      </w:r>
    </w:p>
    <w:p w14:paraId="0FCB7615" w14:textId="77777777" w:rsidR="006B41B1" w:rsidRPr="00124FF7" w:rsidRDefault="006B41B1" w:rsidP="006B41B1">
      <w:pPr>
        <w:pStyle w:val="Default"/>
        <w:numPr>
          <w:ilvl w:val="0"/>
          <w:numId w:val="17"/>
        </w:numPr>
        <w:rPr>
          <w:color w:val="auto"/>
          <w:sz w:val="22"/>
          <w:szCs w:val="22"/>
          <w:lang w:val="uk-UA"/>
        </w:rPr>
      </w:pPr>
      <w:r w:rsidRPr="00124FF7">
        <w:rPr>
          <w:color w:val="auto"/>
          <w:sz w:val="22"/>
          <w:szCs w:val="22"/>
          <w:lang w:val="uk-UA"/>
        </w:rPr>
        <w:t>Взаємодія з ключовими стейкхолдерами</w:t>
      </w:r>
    </w:p>
    <w:p w14:paraId="0B7DCD4A" w14:textId="77777777" w:rsidR="006B41B1" w:rsidRPr="00124FF7" w:rsidRDefault="006B41B1" w:rsidP="006B41B1">
      <w:pPr>
        <w:pStyle w:val="Default"/>
        <w:numPr>
          <w:ilvl w:val="0"/>
          <w:numId w:val="17"/>
        </w:numPr>
        <w:rPr>
          <w:color w:val="auto"/>
          <w:sz w:val="22"/>
          <w:szCs w:val="22"/>
          <w:lang w:val="uk-UA"/>
        </w:rPr>
      </w:pPr>
      <w:r w:rsidRPr="00124FF7">
        <w:rPr>
          <w:color w:val="auto"/>
          <w:sz w:val="22"/>
          <w:szCs w:val="22"/>
          <w:lang w:val="uk-UA"/>
        </w:rPr>
        <w:t>Адміністративна підтримка</w:t>
      </w:r>
    </w:p>
    <w:p w14:paraId="3F095DB6" w14:textId="77777777" w:rsidR="00A73AC3" w:rsidRPr="00124FF7" w:rsidRDefault="00A73AC3" w:rsidP="006B41B1">
      <w:pPr>
        <w:pStyle w:val="Default"/>
        <w:rPr>
          <w:color w:val="auto"/>
          <w:sz w:val="22"/>
          <w:szCs w:val="22"/>
          <w:lang w:val="uk-UA"/>
        </w:rPr>
      </w:pPr>
    </w:p>
    <w:p w14:paraId="74393DB3" w14:textId="4A4DA3E1" w:rsidR="006B41B1" w:rsidRPr="00124FF7" w:rsidRDefault="006B41B1" w:rsidP="006B41B1">
      <w:pPr>
        <w:pStyle w:val="Default"/>
        <w:rPr>
          <w:color w:val="auto"/>
          <w:sz w:val="22"/>
          <w:szCs w:val="22"/>
          <w:lang w:val="uk-UA"/>
        </w:rPr>
      </w:pPr>
      <w:r w:rsidRPr="00124FF7">
        <w:rPr>
          <w:color w:val="auto"/>
          <w:sz w:val="22"/>
          <w:szCs w:val="22"/>
          <w:lang w:val="uk-UA"/>
        </w:rPr>
        <w:t xml:space="preserve">Очікується, що процес стратегічного планування триватиме з лютого по жовтень 2025 року, а остаточний </w:t>
      </w:r>
      <w:r w:rsidR="00303D31">
        <w:rPr>
          <w:color w:val="auto"/>
          <w:sz w:val="22"/>
          <w:szCs w:val="22"/>
          <w:lang w:val="uk-UA"/>
        </w:rPr>
        <w:t>С</w:t>
      </w:r>
      <w:r w:rsidRPr="00124FF7">
        <w:rPr>
          <w:color w:val="auto"/>
          <w:sz w:val="22"/>
          <w:szCs w:val="22"/>
          <w:lang w:val="uk-UA"/>
        </w:rPr>
        <w:t xml:space="preserve">тратегічний план має бути представлений до 31 грудня 2025 року. </w:t>
      </w:r>
    </w:p>
    <w:p w14:paraId="56724474" w14:textId="77777777" w:rsidR="000E6B1C" w:rsidRPr="00124FF7" w:rsidRDefault="000E6B1C" w:rsidP="00797ACF">
      <w:pPr>
        <w:pStyle w:val="Default"/>
        <w:rPr>
          <w:color w:val="auto"/>
          <w:sz w:val="22"/>
          <w:szCs w:val="22"/>
          <w:lang w:val="uk-UA"/>
        </w:rPr>
      </w:pPr>
    </w:p>
    <w:p w14:paraId="05BFC8AD" w14:textId="581C6791" w:rsidR="00484109" w:rsidRPr="00124FF7" w:rsidRDefault="00484109" w:rsidP="00797ACF">
      <w:pPr>
        <w:pStyle w:val="Default"/>
        <w:rPr>
          <w:b/>
          <w:bCs/>
          <w:color w:val="auto"/>
          <w:u w:val="single"/>
          <w:lang w:val="uk-UA"/>
        </w:rPr>
      </w:pPr>
      <w:r w:rsidRPr="00124FF7">
        <w:rPr>
          <w:b/>
          <w:bCs/>
          <w:color w:val="auto"/>
          <w:u w:val="single"/>
          <w:lang w:val="uk-UA"/>
        </w:rPr>
        <w:t>Як подати заявку</w:t>
      </w:r>
    </w:p>
    <w:p w14:paraId="1C196D6C" w14:textId="77777777" w:rsidR="00484109" w:rsidRPr="00124FF7" w:rsidRDefault="00484109" w:rsidP="00797ACF">
      <w:pPr>
        <w:pStyle w:val="Default"/>
        <w:rPr>
          <w:color w:val="auto"/>
          <w:sz w:val="22"/>
          <w:szCs w:val="22"/>
          <w:lang w:val="uk-UA"/>
        </w:rPr>
      </w:pPr>
    </w:p>
    <w:p w14:paraId="633B7A65" w14:textId="77777777" w:rsidR="009619F1" w:rsidRPr="00124FF7" w:rsidRDefault="009619F1" w:rsidP="009619F1">
      <w:pPr>
        <w:pStyle w:val="Default"/>
        <w:numPr>
          <w:ilvl w:val="0"/>
          <w:numId w:val="12"/>
        </w:numPr>
        <w:rPr>
          <w:color w:val="auto"/>
          <w:sz w:val="22"/>
          <w:szCs w:val="22"/>
          <w:lang w:val="uk-UA"/>
        </w:rPr>
      </w:pPr>
      <w:r w:rsidRPr="00124FF7">
        <w:rPr>
          <w:color w:val="auto"/>
          <w:sz w:val="22"/>
          <w:szCs w:val="22"/>
          <w:lang w:val="uk-UA"/>
        </w:rPr>
        <w:t>Мотиваційний лист та резюме</w:t>
      </w:r>
    </w:p>
    <w:p w14:paraId="7BD3696D" w14:textId="6A13446B" w:rsidR="009619F1" w:rsidRPr="00124FF7" w:rsidRDefault="009619F1" w:rsidP="009619F1">
      <w:pPr>
        <w:pStyle w:val="Default"/>
        <w:numPr>
          <w:ilvl w:val="0"/>
          <w:numId w:val="12"/>
        </w:numPr>
        <w:rPr>
          <w:color w:val="auto"/>
          <w:sz w:val="22"/>
          <w:szCs w:val="22"/>
          <w:lang w:val="uk-UA"/>
        </w:rPr>
      </w:pPr>
      <w:r w:rsidRPr="00124FF7">
        <w:rPr>
          <w:color w:val="auto"/>
          <w:sz w:val="22"/>
          <w:szCs w:val="22"/>
          <w:lang w:val="uk-UA"/>
        </w:rPr>
        <w:t xml:space="preserve">Початковий звіт з чітким представленням того, як </w:t>
      </w:r>
      <w:r w:rsidR="00FC7390">
        <w:rPr>
          <w:color w:val="auto"/>
          <w:sz w:val="22"/>
          <w:szCs w:val="22"/>
          <w:lang w:val="uk-UA"/>
        </w:rPr>
        <w:t>сервіс-провайдер</w:t>
      </w:r>
      <w:r w:rsidRPr="00124FF7">
        <w:rPr>
          <w:color w:val="auto"/>
          <w:sz w:val="22"/>
          <w:szCs w:val="22"/>
          <w:lang w:val="uk-UA"/>
        </w:rPr>
        <w:t xml:space="preserve"> розуміє завдання</w:t>
      </w:r>
      <w:r w:rsidR="00D822F3">
        <w:rPr>
          <w:color w:val="auto"/>
          <w:sz w:val="22"/>
          <w:szCs w:val="22"/>
          <w:lang w:val="uk-UA"/>
        </w:rPr>
        <w:t xml:space="preserve"> </w:t>
      </w:r>
      <w:r w:rsidRPr="00124FF7">
        <w:rPr>
          <w:color w:val="auto"/>
          <w:sz w:val="22"/>
          <w:szCs w:val="22"/>
          <w:lang w:val="uk-UA"/>
        </w:rPr>
        <w:t>та його підхід до виконання всього процесу</w:t>
      </w:r>
    </w:p>
    <w:p w14:paraId="78807AA6" w14:textId="77777777" w:rsidR="009619F1" w:rsidRDefault="009619F1" w:rsidP="009619F1">
      <w:pPr>
        <w:pStyle w:val="Default"/>
        <w:numPr>
          <w:ilvl w:val="0"/>
          <w:numId w:val="12"/>
        </w:numPr>
        <w:rPr>
          <w:color w:val="auto"/>
          <w:sz w:val="22"/>
          <w:szCs w:val="22"/>
          <w:lang w:val="uk-UA"/>
        </w:rPr>
      </w:pPr>
      <w:r w:rsidRPr="00124FF7">
        <w:rPr>
          <w:color w:val="auto"/>
          <w:sz w:val="22"/>
          <w:szCs w:val="22"/>
          <w:lang w:val="uk-UA"/>
        </w:rPr>
        <w:t>Запропонована методика та план роботи</w:t>
      </w:r>
    </w:p>
    <w:p w14:paraId="66742299" w14:textId="70C9124B" w:rsidR="000A73FD" w:rsidRPr="00124FF7" w:rsidRDefault="000A73FD" w:rsidP="009619F1">
      <w:pPr>
        <w:pStyle w:val="Default"/>
        <w:numPr>
          <w:ilvl w:val="0"/>
          <w:numId w:val="12"/>
        </w:numPr>
        <w:rPr>
          <w:color w:val="auto"/>
          <w:sz w:val="22"/>
          <w:szCs w:val="22"/>
          <w:lang w:val="uk-UA"/>
        </w:rPr>
      </w:pPr>
      <w:r>
        <w:rPr>
          <w:color w:val="auto"/>
          <w:sz w:val="22"/>
          <w:szCs w:val="22"/>
          <w:lang w:val="uk-UA"/>
        </w:rPr>
        <w:t>Документи згідно кваліфікаційних вимог Запиту</w:t>
      </w:r>
    </w:p>
    <w:p w14:paraId="73EE1C7A" w14:textId="5F27CFE8" w:rsidR="009619F1" w:rsidRPr="00A563AD" w:rsidRDefault="009619F1" w:rsidP="009619F1">
      <w:pPr>
        <w:pStyle w:val="Default"/>
        <w:numPr>
          <w:ilvl w:val="0"/>
          <w:numId w:val="12"/>
        </w:numPr>
        <w:rPr>
          <w:color w:val="FF0000"/>
          <w:sz w:val="22"/>
          <w:szCs w:val="22"/>
          <w:lang w:val="uk-UA"/>
        </w:rPr>
      </w:pPr>
      <w:r w:rsidRPr="002D708A">
        <w:rPr>
          <w:color w:val="auto"/>
          <w:sz w:val="22"/>
          <w:szCs w:val="22"/>
          <w:lang w:val="uk-UA"/>
        </w:rPr>
        <w:t>Пропо</w:t>
      </w:r>
      <w:r w:rsidRPr="00124FF7">
        <w:rPr>
          <w:color w:val="auto"/>
          <w:sz w:val="22"/>
          <w:szCs w:val="22"/>
          <w:lang w:val="uk-UA"/>
        </w:rPr>
        <w:t>новані гонорари за послуги</w:t>
      </w:r>
      <w:r w:rsidR="00A563AD">
        <w:rPr>
          <w:color w:val="auto"/>
          <w:sz w:val="22"/>
          <w:szCs w:val="22"/>
          <w:lang w:val="uk-UA"/>
        </w:rPr>
        <w:t xml:space="preserve"> </w:t>
      </w:r>
      <w:r w:rsidR="00A563AD" w:rsidRPr="002D708A">
        <w:rPr>
          <w:color w:val="auto"/>
          <w:sz w:val="22"/>
          <w:szCs w:val="22"/>
          <w:lang w:val="uk-UA"/>
        </w:rPr>
        <w:t>– Додаток №2 (форма цінової пропозиції)</w:t>
      </w:r>
    </w:p>
    <w:p w14:paraId="10C75D00" w14:textId="1F04EF95" w:rsidR="009619F1" w:rsidRPr="00124FF7" w:rsidRDefault="00F069AC" w:rsidP="009619F1">
      <w:pPr>
        <w:pStyle w:val="Default"/>
        <w:numPr>
          <w:ilvl w:val="0"/>
          <w:numId w:val="12"/>
        </w:numPr>
        <w:rPr>
          <w:color w:val="auto"/>
          <w:sz w:val="22"/>
          <w:szCs w:val="22"/>
          <w:lang w:val="uk-UA"/>
        </w:rPr>
      </w:pPr>
      <w:r>
        <w:rPr>
          <w:color w:val="auto"/>
          <w:sz w:val="22"/>
          <w:szCs w:val="22"/>
          <w:lang w:val="uk-UA"/>
        </w:rPr>
        <w:t xml:space="preserve">Дві </w:t>
      </w:r>
      <w:r w:rsidR="00D743CE">
        <w:rPr>
          <w:color w:val="auto"/>
          <w:sz w:val="22"/>
          <w:szCs w:val="22"/>
          <w:lang w:val="uk-UA"/>
        </w:rPr>
        <w:t xml:space="preserve"> </w:t>
      </w:r>
      <w:r w:rsidR="007025AA">
        <w:rPr>
          <w:color w:val="auto"/>
          <w:sz w:val="22"/>
          <w:szCs w:val="22"/>
          <w:lang w:val="uk-UA"/>
        </w:rPr>
        <w:t>рекомендації</w:t>
      </w:r>
    </w:p>
    <w:p w14:paraId="6D143CBD" w14:textId="5650F4ED" w:rsidR="000E6B1C" w:rsidRPr="00124FF7" w:rsidRDefault="000E6B1C" w:rsidP="00797ACF">
      <w:pPr>
        <w:pStyle w:val="Default"/>
        <w:rPr>
          <w:color w:val="auto"/>
          <w:sz w:val="22"/>
          <w:szCs w:val="22"/>
          <w:lang w:val="uk-UA"/>
        </w:rPr>
      </w:pPr>
    </w:p>
    <w:sectPr w:rsidR="000E6B1C" w:rsidRPr="00124FF7" w:rsidSect="00CA518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E19E1" w14:textId="77777777" w:rsidR="006F3631" w:rsidRDefault="006F3631" w:rsidP="007D5C6C">
      <w:pPr>
        <w:spacing w:after="0" w:line="240" w:lineRule="auto"/>
      </w:pPr>
      <w:r>
        <w:separator/>
      </w:r>
    </w:p>
  </w:endnote>
  <w:endnote w:type="continuationSeparator" w:id="0">
    <w:p w14:paraId="3378306A" w14:textId="77777777" w:rsidR="006F3631" w:rsidRDefault="006F3631" w:rsidP="007D5C6C">
      <w:pPr>
        <w:spacing w:after="0" w:line="240" w:lineRule="auto"/>
      </w:pPr>
      <w:r>
        <w:continuationSeparator/>
      </w:r>
    </w:p>
  </w:endnote>
  <w:endnote w:type="continuationNotice" w:id="1">
    <w:p w14:paraId="2A23E7D4" w14:textId="77777777" w:rsidR="006F3631" w:rsidRDefault="006F36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4E545" w14:textId="504D9219" w:rsidR="007D5C6C" w:rsidRDefault="007D5C6C">
    <w:pPr>
      <w:pStyle w:val="ae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AEA9EE0" wp14:editId="7E1DAB8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565150" cy="357505"/>
              <wp:effectExtent l="0" t="0" r="6350" b="0"/>
              <wp:wrapNone/>
              <wp:docPr id="2075413096" name="Text Box 2" descr="Громадський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15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75DF43" w14:textId="3F02D772" w:rsidR="007D5C6C" w:rsidRPr="007D5C6C" w:rsidRDefault="007D5C6C" w:rsidP="007D5C6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D5C6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Громадський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EA9EE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Громадський" style="position:absolute;margin-left:0;margin-top:0;width:44.5pt;height:28.1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" filled="f" stroked="f">
              <v:textbox style="mso-fit-shape-to-text:t" inset="20pt,0,0,15pt">
                <w:txbxContent>
                  <w:p w14:paraId="4275DF43" w14:textId="3F02D772" w:rsidR="007D5C6C" w:rsidRPr="007D5C6C" w:rsidRDefault="007D5C6C" w:rsidP="007D5C6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D5C6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Громадський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FAEF2" w14:textId="3F1CB9CB" w:rsidR="007D5C6C" w:rsidRDefault="007D5C6C">
    <w:pPr>
      <w:pStyle w:val="ae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C106A53" wp14:editId="13B0A84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565150" cy="357505"/>
              <wp:effectExtent l="0" t="0" r="6350" b="0"/>
              <wp:wrapNone/>
              <wp:docPr id="1173148961" name="Text Box 3" descr="Громадський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15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36D487" w14:textId="59F4E139" w:rsidR="007D5C6C" w:rsidRPr="00BC533E" w:rsidRDefault="007D5C6C" w:rsidP="007D5C6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val="uk-U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106A5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Громадський" style="position:absolute;margin-left:0;margin-top:0;width:44.5pt;height:28.1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" filled="f" stroked="f">
              <v:textbox style="mso-fit-shape-to-text:t" inset="20pt,0,0,15pt">
                <w:txbxContent>
                  <w:p w14:paraId="7836D487" w14:textId="59F4E139" w:rsidR="007D5C6C" w:rsidRPr="00BC533E" w:rsidRDefault="007D5C6C" w:rsidP="007D5C6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val="uk-U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BDEDB" w14:textId="7F88910B" w:rsidR="007D5C6C" w:rsidRDefault="007D5C6C">
    <w:pPr>
      <w:pStyle w:val="a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314317" wp14:editId="6A14D39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565150" cy="357505"/>
              <wp:effectExtent l="0" t="0" r="6350" b="0"/>
              <wp:wrapNone/>
              <wp:docPr id="773851205" name="Text Box 1" descr="Громадський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15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155801" w14:textId="1CDDE014" w:rsidR="007D5C6C" w:rsidRPr="007D5C6C" w:rsidRDefault="007D5C6C" w:rsidP="007D5C6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D5C6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Громадський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3143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Громадський" style="position:absolute;margin-left:0;margin-top:0;width:44.5pt;height:28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" filled="f" stroked="f">
              <v:textbox style="mso-fit-shape-to-text:t" inset="20pt,0,0,15pt">
                <w:txbxContent>
                  <w:p w14:paraId="1B155801" w14:textId="1CDDE014" w:rsidR="007D5C6C" w:rsidRPr="007D5C6C" w:rsidRDefault="007D5C6C" w:rsidP="007D5C6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D5C6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Громадський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4CD71" w14:textId="77777777" w:rsidR="006F3631" w:rsidRDefault="006F3631" w:rsidP="007D5C6C">
      <w:pPr>
        <w:spacing w:after="0" w:line="240" w:lineRule="auto"/>
      </w:pPr>
      <w:r>
        <w:separator/>
      </w:r>
    </w:p>
  </w:footnote>
  <w:footnote w:type="continuationSeparator" w:id="0">
    <w:p w14:paraId="02F2D9B5" w14:textId="77777777" w:rsidR="006F3631" w:rsidRDefault="006F3631" w:rsidP="007D5C6C">
      <w:pPr>
        <w:spacing w:after="0" w:line="240" w:lineRule="auto"/>
      </w:pPr>
      <w:r>
        <w:continuationSeparator/>
      </w:r>
    </w:p>
  </w:footnote>
  <w:footnote w:type="continuationNotice" w:id="1">
    <w:p w14:paraId="623F8270" w14:textId="77777777" w:rsidR="006F3631" w:rsidRDefault="006F36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BA619" w14:textId="77777777" w:rsidR="00331236" w:rsidRDefault="00331236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9A1FF" w14:textId="568FB0DE" w:rsidR="0091756E" w:rsidRPr="004B7ED1" w:rsidRDefault="004B7ED1">
    <w:pPr>
      <w:pStyle w:val="af7"/>
      <w:rPr>
        <w:lang w:val="uk-UA"/>
      </w:rPr>
    </w:pPr>
    <w:r>
      <w:rPr>
        <w:lang w:val="uk-UA"/>
      </w:rPr>
      <w:t>Додат</w:t>
    </w:r>
    <w:r w:rsidR="0091756E">
      <w:rPr>
        <w:lang w:val="uk-UA"/>
      </w:rPr>
      <w:t>о</w:t>
    </w:r>
    <w:r>
      <w:rPr>
        <w:lang w:val="uk-UA"/>
      </w:rPr>
      <w:t xml:space="preserve">к </w:t>
    </w:r>
    <w:r w:rsidR="00331236">
      <w:rPr>
        <w:lang w:val="uk-UA"/>
      </w:rPr>
      <w:t>3</w:t>
    </w:r>
    <w:r w:rsidR="0091756E">
      <w:rPr>
        <w:lang w:val="uk-UA"/>
      </w:rPr>
      <w:t xml:space="preserve"> до </w:t>
    </w:r>
    <w:r w:rsidR="00F870DB">
      <w:rPr>
        <w:lang w:val="uk-UA"/>
      </w:rPr>
      <w:t>Запиту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65E00" w14:textId="77777777" w:rsidR="00331236" w:rsidRDefault="00331236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C259E"/>
    <w:multiLevelType w:val="hybridMultilevel"/>
    <w:tmpl w:val="8CCA99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russianUpper"/>
      <w:lvlText w:val="%2."/>
      <w:lvlJc w:val="left"/>
      <w:pPr>
        <w:ind w:left="1440" w:hanging="360"/>
      </w:pPr>
    </w:lvl>
    <w:lvl w:ilvl="2" w:tplc="0409001B" w:tentative="1">
      <w:start w:val="1"/>
      <w:numFmt w:val="russianUpper"/>
      <w:lvlText w:val="%3."/>
      <w:lvlJc w:val="right"/>
      <w:pPr>
        <w:ind w:left="2160" w:hanging="180"/>
      </w:pPr>
    </w:lvl>
    <w:lvl w:ilvl="3" w:tplc="0409000F" w:tentative="1">
      <w:start w:val="1"/>
      <w:numFmt w:val="russianUpper"/>
      <w:lvlText w:val="%4."/>
      <w:lvlJc w:val="left"/>
      <w:pPr>
        <w:ind w:left="2880" w:hanging="360"/>
      </w:pPr>
    </w:lvl>
    <w:lvl w:ilvl="4" w:tplc="04090019" w:tentative="1">
      <w:start w:val="1"/>
      <w:numFmt w:val="russianUpper"/>
      <w:lvlText w:val="%5."/>
      <w:lvlJc w:val="left"/>
      <w:pPr>
        <w:ind w:left="3600" w:hanging="360"/>
      </w:pPr>
    </w:lvl>
    <w:lvl w:ilvl="5" w:tplc="0409001B" w:tentative="1">
      <w:start w:val="1"/>
      <w:numFmt w:val="russianUpper"/>
      <w:lvlText w:val="%6."/>
      <w:lvlJc w:val="right"/>
      <w:pPr>
        <w:ind w:left="4320" w:hanging="180"/>
      </w:pPr>
    </w:lvl>
    <w:lvl w:ilvl="6" w:tplc="0409000F" w:tentative="1">
      <w:start w:val="1"/>
      <w:numFmt w:val="russianUpper"/>
      <w:lvlText w:val="%7."/>
      <w:lvlJc w:val="left"/>
      <w:pPr>
        <w:ind w:left="5040" w:hanging="360"/>
      </w:pPr>
    </w:lvl>
    <w:lvl w:ilvl="7" w:tplc="04090019" w:tentative="1">
      <w:start w:val="1"/>
      <w:numFmt w:val="russianUpper"/>
      <w:lvlText w:val="%8."/>
      <w:lvlJc w:val="left"/>
      <w:pPr>
        <w:ind w:left="5760" w:hanging="360"/>
      </w:pPr>
    </w:lvl>
    <w:lvl w:ilvl="8" w:tplc="0409001B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1" w15:restartNumberingAfterBreak="0">
    <w:nsid w:val="0D995A6A"/>
    <w:multiLevelType w:val="multilevel"/>
    <w:tmpl w:val="D54C7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9323A"/>
    <w:multiLevelType w:val="hybridMultilevel"/>
    <w:tmpl w:val="27069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17AD0"/>
    <w:multiLevelType w:val="hybridMultilevel"/>
    <w:tmpl w:val="8A8CBF42"/>
    <w:lvl w:ilvl="0" w:tplc="5150D51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390491"/>
    <w:multiLevelType w:val="hybridMultilevel"/>
    <w:tmpl w:val="24EE2F1C"/>
    <w:lvl w:ilvl="0" w:tplc="5150D5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908D1"/>
    <w:multiLevelType w:val="multilevel"/>
    <w:tmpl w:val="C1F68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561F82"/>
    <w:multiLevelType w:val="hybridMultilevel"/>
    <w:tmpl w:val="10C6F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40602"/>
    <w:multiLevelType w:val="multilevel"/>
    <w:tmpl w:val="5016B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28592F"/>
    <w:multiLevelType w:val="multilevel"/>
    <w:tmpl w:val="6B946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FB74BF"/>
    <w:multiLevelType w:val="hybridMultilevel"/>
    <w:tmpl w:val="10DE9C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russianUpper"/>
      <w:lvlText w:val="%2."/>
      <w:lvlJc w:val="left"/>
      <w:pPr>
        <w:ind w:left="1440" w:hanging="360"/>
      </w:pPr>
    </w:lvl>
    <w:lvl w:ilvl="2" w:tplc="0409001B" w:tentative="1">
      <w:start w:val="1"/>
      <w:numFmt w:val="russianUpper"/>
      <w:lvlText w:val="%3."/>
      <w:lvlJc w:val="right"/>
      <w:pPr>
        <w:ind w:left="2160" w:hanging="180"/>
      </w:pPr>
    </w:lvl>
    <w:lvl w:ilvl="3" w:tplc="0409000F" w:tentative="1">
      <w:start w:val="1"/>
      <w:numFmt w:val="russianUpper"/>
      <w:lvlText w:val="%4."/>
      <w:lvlJc w:val="left"/>
      <w:pPr>
        <w:ind w:left="2880" w:hanging="360"/>
      </w:pPr>
    </w:lvl>
    <w:lvl w:ilvl="4" w:tplc="04090019" w:tentative="1">
      <w:start w:val="1"/>
      <w:numFmt w:val="russianUpper"/>
      <w:lvlText w:val="%5."/>
      <w:lvlJc w:val="left"/>
      <w:pPr>
        <w:ind w:left="3600" w:hanging="360"/>
      </w:pPr>
    </w:lvl>
    <w:lvl w:ilvl="5" w:tplc="0409001B" w:tentative="1">
      <w:start w:val="1"/>
      <w:numFmt w:val="russianUpper"/>
      <w:lvlText w:val="%6."/>
      <w:lvlJc w:val="right"/>
      <w:pPr>
        <w:ind w:left="4320" w:hanging="180"/>
      </w:pPr>
    </w:lvl>
    <w:lvl w:ilvl="6" w:tplc="0409000F" w:tentative="1">
      <w:start w:val="1"/>
      <w:numFmt w:val="russianUpper"/>
      <w:lvlText w:val="%7."/>
      <w:lvlJc w:val="left"/>
      <w:pPr>
        <w:ind w:left="5040" w:hanging="360"/>
      </w:pPr>
    </w:lvl>
    <w:lvl w:ilvl="7" w:tplc="04090019" w:tentative="1">
      <w:start w:val="1"/>
      <w:numFmt w:val="russianUpper"/>
      <w:lvlText w:val="%8."/>
      <w:lvlJc w:val="left"/>
      <w:pPr>
        <w:ind w:left="5760" w:hanging="360"/>
      </w:pPr>
    </w:lvl>
    <w:lvl w:ilvl="8" w:tplc="0409001B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10" w15:restartNumberingAfterBreak="0">
    <w:nsid w:val="37F030C9"/>
    <w:multiLevelType w:val="hybridMultilevel"/>
    <w:tmpl w:val="733C2484"/>
    <w:lvl w:ilvl="0" w:tplc="E1E0EB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3B050B"/>
    <w:multiLevelType w:val="hybridMultilevel"/>
    <w:tmpl w:val="66AEAD60"/>
    <w:lvl w:ilvl="0" w:tplc="5150D51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6B53D7"/>
    <w:multiLevelType w:val="hybridMultilevel"/>
    <w:tmpl w:val="9522DA26"/>
    <w:lvl w:ilvl="0" w:tplc="5150D5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1A20FA"/>
    <w:multiLevelType w:val="multilevel"/>
    <w:tmpl w:val="4A2AA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3C3AC3"/>
    <w:multiLevelType w:val="multilevel"/>
    <w:tmpl w:val="24BA5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8F7BC1"/>
    <w:multiLevelType w:val="hybridMultilevel"/>
    <w:tmpl w:val="E2185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7B349B"/>
    <w:multiLevelType w:val="multilevel"/>
    <w:tmpl w:val="D0503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CC5ACF"/>
    <w:multiLevelType w:val="hybridMultilevel"/>
    <w:tmpl w:val="FA089D96"/>
    <w:lvl w:ilvl="0" w:tplc="158AB048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BA9EDA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229A02" w:tentative="1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C6F18A" w:tentative="1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A20064" w:tentative="1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E8D2AC" w:tentative="1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94CC86" w:tentative="1">
      <w:start w:val="1"/>
      <w:numFmt w:val="bullet"/>
      <w:lvlText w:val="○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0C3214" w:tentative="1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349FAA" w:tentative="1">
      <w:start w:val="1"/>
      <w:numFmt w:val="bullet"/>
      <w:lvlText w:val="○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23D7178"/>
    <w:multiLevelType w:val="hybridMultilevel"/>
    <w:tmpl w:val="2382AD2A"/>
    <w:lvl w:ilvl="0" w:tplc="5150D5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793316">
    <w:abstractNumId w:val="9"/>
  </w:num>
  <w:num w:numId="2" w16cid:durableId="284696118">
    <w:abstractNumId w:val="0"/>
  </w:num>
  <w:num w:numId="3" w16cid:durableId="1889604031">
    <w:abstractNumId w:val="2"/>
  </w:num>
  <w:num w:numId="4" w16cid:durableId="1958441595">
    <w:abstractNumId w:val="12"/>
  </w:num>
  <w:num w:numId="5" w16cid:durableId="422653020">
    <w:abstractNumId w:val="10"/>
  </w:num>
  <w:num w:numId="6" w16cid:durableId="1506675908">
    <w:abstractNumId w:val="17"/>
  </w:num>
  <w:num w:numId="7" w16cid:durableId="11348886">
    <w:abstractNumId w:val="15"/>
  </w:num>
  <w:num w:numId="8" w16cid:durableId="1263487228">
    <w:abstractNumId w:val="11"/>
  </w:num>
  <w:num w:numId="9" w16cid:durableId="1727408547">
    <w:abstractNumId w:val="18"/>
  </w:num>
  <w:num w:numId="10" w16cid:durableId="1733036406">
    <w:abstractNumId w:val="3"/>
  </w:num>
  <w:num w:numId="11" w16cid:durableId="1764304625">
    <w:abstractNumId w:val="4"/>
  </w:num>
  <w:num w:numId="12" w16cid:durableId="89086839">
    <w:abstractNumId w:val="13"/>
  </w:num>
  <w:num w:numId="13" w16cid:durableId="1567842477">
    <w:abstractNumId w:val="16"/>
  </w:num>
  <w:num w:numId="14" w16cid:durableId="241909952">
    <w:abstractNumId w:val="5"/>
  </w:num>
  <w:num w:numId="15" w16cid:durableId="1984697608">
    <w:abstractNumId w:val="14"/>
  </w:num>
  <w:num w:numId="16" w16cid:durableId="1104764210">
    <w:abstractNumId w:val="1"/>
  </w:num>
  <w:num w:numId="17" w16cid:durableId="81027223">
    <w:abstractNumId w:val="8"/>
  </w:num>
  <w:num w:numId="18" w16cid:durableId="1671641254">
    <w:abstractNumId w:val="7"/>
  </w:num>
  <w:num w:numId="19" w16cid:durableId="19434185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2C8"/>
    <w:rsid w:val="0000169D"/>
    <w:rsid w:val="00003D14"/>
    <w:rsid w:val="0000703D"/>
    <w:rsid w:val="00007C96"/>
    <w:rsid w:val="00021892"/>
    <w:rsid w:val="00023673"/>
    <w:rsid w:val="00023BDA"/>
    <w:rsid w:val="00035BB3"/>
    <w:rsid w:val="0004094A"/>
    <w:rsid w:val="00040C20"/>
    <w:rsid w:val="000421A4"/>
    <w:rsid w:val="00044706"/>
    <w:rsid w:val="0004760B"/>
    <w:rsid w:val="00054CC3"/>
    <w:rsid w:val="00056FF0"/>
    <w:rsid w:val="00074D79"/>
    <w:rsid w:val="000763D3"/>
    <w:rsid w:val="00090BBE"/>
    <w:rsid w:val="000A3C38"/>
    <w:rsid w:val="000A4071"/>
    <w:rsid w:val="000A73FD"/>
    <w:rsid w:val="000B01E1"/>
    <w:rsid w:val="000B10A1"/>
    <w:rsid w:val="000B1849"/>
    <w:rsid w:val="000C239D"/>
    <w:rsid w:val="000C4002"/>
    <w:rsid w:val="000D4AF6"/>
    <w:rsid w:val="000E0C47"/>
    <w:rsid w:val="000E21F0"/>
    <w:rsid w:val="000E6B1C"/>
    <w:rsid w:val="000F3507"/>
    <w:rsid w:val="000F6EC2"/>
    <w:rsid w:val="001003FC"/>
    <w:rsid w:val="001012D1"/>
    <w:rsid w:val="0011306E"/>
    <w:rsid w:val="00113AC6"/>
    <w:rsid w:val="00117CFE"/>
    <w:rsid w:val="00124FF7"/>
    <w:rsid w:val="00130194"/>
    <w:rsid w:val="00132386"/>
    <w:rsid w:val="00134E8B"/>
    <w:rsid w:val="00137F94"/>
    <w:rsid w:val="001453E5"/>
    <w:rsid w:val="00145777"/>
    <w:rsid w:val="001470B8"/>
    <w:rsid w:val="001543D2"/>
    <w:rsid w:val="001654F7"/>
    <w:rsid w:val="001668EE"/>
    <w:rsid w:val="00166E1C"/>
    <w:rsid w:val="00166EE7"/>
    <w:rsid w:val="00174223"/>
    <w:rsid w:val="00174AA9"/>
    <w:rsid w:val="00175FAA"/>
    <w:rsid w:val="00180E8F"/>
    <w:rsid w:val="00180EF2"/>
    <w:rsid w:val="00182B09"/>
    <w:rsid w:val="001952B2"/>
    <w:rsid w:val="00195CAC"/>
    <w:rsid w:val="001A0ABC"/>
    <w:rsid w:val="001A0EEC"/>
    <w:rsid w:val="001B2C11"/>
    <w:rsid w:val="001C2DDE"/>
    <w:rsid w:val="001C3216"/>
    <w:rsid w:val="001D045C"/>
    <w:rsid w:val="001D402A"/>
    <w:rsid w:val="001E5937"/>
    <w:rsid w:val="001F3E46"/>
    <w:rsid w:val="001F574A"/>
    <w:rsid w:val="001F62C8"/>
    <w:rsid w:val="002029F1"/>
    <w:rsid w:val="00212144"/>
    <w:rsid w:val="00214541"/>
    <w:rsid w:val="00220DF0"/>
    <w:rsid w:val="0022320C"/>
    <w:rsid w:val="00232FC9"/>
    <w:rsid w:val="0023412C"/>
    <w:rsid w:val="00234E21"/>
    <w:rsid w:val="00242F8D"/>
    <w:rsid w:val="00245DE1"/>
    <w:rsid w:val="0024674B"/>
    <w:rsid w:val="00257DC0"/>
    <w:rsid w:val="002605DC"/>
    <w:rsid w:val="002617C7"/>
    <w:rsid w:val="00262434"/>
    <w:rsid w:val="00263CFF"/>
    <w:rsid w:val="00264AE6"/>
    <w:rsid w:val="00265ABC"/>
    <w:rsid w:val="00280153"/>
    <w:rsid w:val="0028134B"/>
    <w:rsid w:val="00283780"/>
    <w:rsid w:val="002906A6"/>
    <w:rsid w:val="00293131"/>
    <w:rsid w:val="002939C2"/>
    <w:rsid w:val="0029507E"/>
    <w:rsid w:val="00296C0B"/>
    <w:rsid w:val="00297D6E"/>
    <w:rsid w:val="002A0038"/>
    <w:rsid w:val="002A3743"/>
    <w:rsid w:val="002A3B0E"/>
    <w:rsid w:val="002A3E79"/>
    <w:rsid w:val="002A6FA4"/>
    <w:rsid w:val="002B17E5"/>
    <w:rsid w:val="002B2BAA"/>
    <w:rsid w:val="002C45A5"/>
    <w:rsid w:val="002C5E7E"/>
    <w:rsid w:val="002D30DA"/>
    <w:rsid w:val="002D354F"/>
    <w:rsid w:val="002D708A"/>
    <w:rsid w:val="002E51D5"/>
    <w:rsid w:val="002F36D3"/>
    <w:rsid w:val="00302F3D"/>
    <w:rsid w:val="00303504"/>
    <w:rsid w:val="00303D31"/>
    <w:rsid w:val="00307767"/>
    <w:rsid w:val="00310104"/>
    <w:rsid w:val="0031356E"/>
    <w:rsid w:val="00317A6B"/>
    <w:rsid w:val="00317AB8"/>
    <w:rsid w:val="00321D01"/>
    <w:rsid w:val="0032265C"/>
    <w:rsid w:val="00324D4E"/>
    <w:rsid w:val="0032517E"/>
    <w:rsid w:val="00331236"/>
    <w:rsid w:val="003321C9"/>
    <w:rsid w:val="00332214"/>
    <w:rsid w:val="003407A8"/>
    <w:rsid w:val="00350F8F"/>
    <w:rsid w:val="003571B1"/>
    <w:rsid w:val="00363C76"/>
    <w:rsid w:val="0036611B"/>
    <w:rsid w:val="00366AB1"/>
    <w:rsid w:val="00371DE7"/>
    <w:rsid w:val="00374550"/>
    <w:rsid w:val="00376476"/>
    <w:rsid w:val="00377696"/>
    <w:rsid w:val="003811E4"/>
    <w:rsid w:val="0038642B"/>
    <w:rsid w:val="00386991"/>
    <w:rsid w:val="00392E02"/>
    <w:rsid w:val="00395A9D"/>
    <w:rsid w:val="003962F7"/>
    <w:rsid w:val="003A117B"/>
    <w:rsid w:val="003A20ED"/>
    <w:rsid w:val="003A2554"/>
    <w:rsid w:val="003A4CAA"/>
    <w:rsid w:val="003B0DF9"/>
    <w:rsid w:val="003B32E1"/>
    <w:rsid w:val="003B54EC"/>
    <w:rsid w:val="003C0B0A"/>
    <w:rsid w:val="003D2260"/>
    <w:rsid w:val="003F6441"/>
    <w:rsid w:val="003F7573"/>
    <w:rsid w:val="00404812"/>
    <w:rsid w:val="0040528E"/>
    <w:rsid w:val="00406869"/>
    <w:rsid w:val="0041116A"/>
    <w:rsid w:val="00421379"/>
    <w:rsid w:val="00423BA6"/>
    <w:rsid w:val="00424659"/>
    <w:rsid w:val="00424ECC"/>
    <w:rsid w:val="0042696A"/>
    <w:rsid w:val="0044025E"/>
    <w:rsid w:val="00446816"/>
    <w:rsid w:val="00447F6F"/>
    <w:rsid w:val="004504F4"/>
    <w:rsid w:val="004627D7"/>
    <w:rsid w:val="004642A5"/>
    <w:rsid w:val="00471382"/>
    <w:rsid w:val="004812B2"/>
    <w:rsid w:val="004840F3"/>
    <w:rsid w:val="00484109"/>
    <w:rsid w:val="00490999"/>
    <w:rsid w:val="00493DCB"/>
    <w:rsid w:val="00494CF9"/>
    <w:rsid w:val="004B04DA"/>
    <w:rsid w:val="004B171D"/>
    <w:rsid w:val="004B3C64"/>
    <w:rsid w:val="004B6D99"/>
    <w:rsid w:val="004B7ED1"/>
    <w:rsid w:val="004C0CE7"/>
    <w:rsid w:val="004C1510"/>
    <w:rsid w:val="004C1CD6"/>
    <w:rsid w:val="004D31B5"/>
    <w:rsid w:val="004E4808"/>
    <w:rsid w:val="004E665E"/>
    <w:rsid w:val="004F09BE"/>
    <w:rsid w:val="004F0B69"/>
    <w:rsid w:val="004F332D"/>
    <w:rsid w:val="004F497A"/>
    <w:rsid w:val="004F60C4"/>
    <w:rsid w:val="005063E7"/>
    <w:rsid w:val="00507978"/>
    <w:rsid w:val="005100D5"/>
    <w:rsid w:val="0051262B"/>
    <w:rsid w:val="00514B08"/>
    <w:rsid w:val="00515BDA"/>
    <w:rsid w:val="00517149"/>
    <w:rsid w:val="005315B6"/>
    <w:rsid w:val="005421AD"/>
    <w:rsid w:val="005423F5"/>
    <w:rsid w:val="00544865"/>
    <w:rsid w:val="00545722"/>
    <w:rsid w:val="00545C11"/>
    <w:rsid w:val="005537CC"/>
    <w:rsid w:val="00555B6D"/>
    <w:rsid w:val="00573B86"/>
    <w:rsid w:val="00581404"/>
    <w:rsid w:val="00582717"/>
    <w:rsid w:val="005A2A9A"/>
    <w:rsid w:val="005A2F80"/>
    <w:rsid w:val="005A6EF5"/>
    <w:rsid w:val="005B106A"/>
    <w:rsid w:val="005C1762"/>
    <w:rsid w:val="005C1B76"/>
    <w:rsid w:val="005D34FA"/>
    <w:rsid w:val="005D4B14"/>
    <w:rsid w:val="005E2B4E"/>
    <w:rsid w:val="005F3278"/>
    <w:rsid w:val="006032CF"/>
    <w:rsid w:val="00603A33"/>
    <w:rsid w:val="006044B4"/>
    <w:rsid w:val="006072F4"/>
    <w:rsid w:val="00607DAB"/>
    <w:rsid w:val="00617D3F"/>
    <w:rsid w:val="006200D5"/>
    <w:rsid w:val="00627055"/>
    <w:rsid w:val="00631607"/>
    <w:rsid w:val="00634608"/>
    <w:rsid w:val="00641DAE"/>
    <w:rsid w:val="0064596F"/>
    <w:rsid w:val="006539C2"/>
    <w:rsid w:val="00662EC7"/>
    <w:rsid w:val="00666A94"/>
    <w:rsid w:val="00667DD1"/>
    <w:rsid w:val="00671850"/>
    <w:rsid w:val="00674F02"/>
    <w:rsid w:val="006751F4"/>
    <w:rsid w:val="00675CAA"/>
    <w:rsid w:val="00680684"/>
    <w:rsid w:val="00680BA3"/>
    <w:rsid w:val="00685DC0"/>
    <w:rsid w:val="00691D75"/>
    <w:rsid w:val="00693A43"/>
    <w:rsid w:val="006A369A"/>
    <w:rsid w:val="006A7513"/>
    <w:rsid w:val="006A791F"/>
    <w:rsid w:val="006B20E3"/>
    <w:rsid w:val="006B41B1"/>
    <w:rsid w:val="006B4A89"/>
    <w:rsid w:val="006B5593"/>
    <w:rsid w:val="006B76F4"/>
    <w:rsid w:val="006C09B8"/>
    <w:rsid w:val="006C5C50"/>
    <w:rsid w:val="006C5FE2"/>
    <w:rsid w:val="006D0399"/>
    <w:rsid w:val="006D4BC3"/>
    <w:rsid w:val="006D4C42"/>
    <w:rsid w:val="006E487B"/>
    <w:rsid w:val="006E4FC6"/>
    <w:rsid w:val="006F3631"/>
    <w:rsid w:val="006F384E"/>
    <w:rsid w:val="006F6A42"/>
    <w:rsid w:val="006F733E"/>
    <w:rsid w:val="007025AA"/>
    <w:rsid w:val="007121FB"/>
    <w:rsid w:val="00741D5E"/>
    <w:rsid w:val="00743EC8"/>
    <w:rsid w:val="00751060"/>
    <w:rsid w:val="00754CC6"/>
    <w:rsid w:val="007575B8"/>
    <w:rsid w:val="00767D79"/>
    <w:rsid w:val="0077219D"/>
    <w:rsid w:val="0077477C"/>
    <w:rsid w:val="007804E1"/>
    <w:rsid w:val="007832EB"/>
    <w:rsid w:val="00784C1E"/>
    <w:rsid w:val="00784D3D"/>
    <w:rsid w:val="00791FD4"/>
    <w:rsid w:val="00797ACF"/>
    <w:rsid w:val="007A288E"/>
    <w:rsid w:val="007A38E0"/>
    <w:rsid w:val="007B5BBE"/>
    <w:rsid w:val="007C487D"/>
    <w:rsid w:val="007D3394"/>
    <w:rsid w:val="007D5C6C"/>
    <w:rsid w:val="007D65CE"/>
    <w:rsid w:val="007D78D4"/>
    <w:rsid w:val="007F038A"/>
    <w:rsid w:val="007F2414"/>
    <w:rsid w:val="00803FFD"/>
    <w:rsid w:val="00807143"/>
    <w:rsid w:val="00807A19"/>
    <w:rsid w:val="00807C04"/>
    <w:rsid w:val="008135C1"/>
    <w:rsid w:val="008164EC"/>
    <w:rsid w:val="008225F8"/>
    <w:rsid w:val="008229B1"/>
    <w:rsid w:val="00827CA8"/>
    <w:rsid w:val="00840840"/>
    <w:rsid w:val="00844BA1"/>
    <w:rsid w:val="00845B4F"/>
    <w:rsid w:val="00846CA3"/>
    <w:rsid w:val="0085113B"/>
    <w:rsid w:val="008568AD"/>
    <w:rsid w:val="0086071A"/>
    <w:rsid w:val="00862D6C"/>
    <w:rsid w:val="00865E58"/>
    <w:rsid w:val="00872440"/>
    <w:rsid w:val="008A0F53"/>
    <w:rsid w:val="008A70AE"/>
    <w:rsid w:val="008B1594"/>
    <w:rsid w:val="008B337F"/>
    <w:rsid w:val="008B6E56"/>
    <w:rsid w:val="008B7511"/>
    <w:rsid w:val="008B7B59"/>
    <w:rsid w:val="008C1680"/>
    <w:rsid w:val="008C712D"/>
    <w:rsid w:val="008D1CFF"/>
    <w:rsid w:val="00900F76"/>
    <w:rsid w:val="0090175D"/>
    <w:rsid w:val="009059A1"/>
    <w:rsid w:val="00910447"/>
    <w:rsid w:val="00911284"/>
    <w:rsid w:val="00911BCB"/>
    <w:rsid w:val="0091394D"/>
    <w:rsid w:val="0091756E"/>
    <w:rsid w:val="009210ED"/>
    <w:rsid w:val="00923415"/>
    <w:rsid w:val="00924B20"/>
    <w:rsid w:val="009275F2"/>
    <w:rsid w:val="0093111B"/>
    <w:rsid w:val="00934C7F"/>
    <w:rsid w:val="00937AB3"/>
    <w:rsid w:val="0094191E"/>
    <w:rsid w:val="00942161"/>
    <w:rsid w:val="00944A86"/>
    <w:rsid w:val="009619F1"/>
    <w:rsid w:val="00966CF8"/>
    <w:rsid w:val="00971ECE"/>
    <w:rsid w:val="00974DF6"/>
    <w:rsid w:val="00975ABD"/>
    <w:rsid w:val="00976EF1"/>
    <w:rsid w:val="0098376C"/>
    <w:rsid w:val="009912E9"/>
    <w:rsid w:val="009A0A28"/>
    <w:rsid w:val="009A3384"/>
    <w:rsid w:val="009B2451"/>
    <w:rsid w:val="009C3ABD"/>
    <w:rsid w:val="009D55E1"/>
    <w:rsid w:val="009F0B2B"/>
    <w:rsid w:val="009F6716"/>
    <w:rsid w:val="00A07661"/>
    <w:rsid w:val="00A12C8D"/>
    <w:rsid w:val="00A14467"/>
    <w:rsid w:val="00A14685"/>
    <w:rsid w:val="00A35620"/>
    <w:rsid w:val="00A418E9"/>
    <w:rsid w:val="00A44B08"/>
    <w:rsid w:val="00A47090"/>
    <w:rsid w:val="00A54AD4"/>
    <w:rsid w:val="00A563AD"/>
    <w:rsid w:val="00A60606"/>
    <w:rsid w:val="00A60A9E"/>
    <w:rsid w:val="00A63727"/>
    <w:rsid w:val="00A64029"/>
    <w:rsid w:val="00A64462"/>
    <w:rsid w:val="00A6475A"/>
    <w:rsid w:val="00A64A45"/>
    <w:rsid w:val="00A664C6"/>
    <w:rsid w:val="00A67E00"/>
    <w:rsid w:val="00A73AC3"/>
    <w:rsid w:val="00A74360"/>
    <w:rsid w:val="00A749A4"/>
    <w:rsid w:val="00A77D41"/>
    <w:rsid w:val="00A900D0"/>
    <w:rsid w:val="00A91B77"/>
    <w:rsid w:val="00A957A4"/>
    <w:rsid w:val="00A978DB"/>
    <w:rsid w:val="00AA29FB"/>
    <w:rsid w:val="00AA3A1A"/>
    <w:rsid w:val="00AA6023"/>
    <w:rsid w:val="00AA6D67"/>
    <w:rsid w:val="00AB36C4"/>
    <w:rsid w:val="00AB4D10"/>
    <w:rsid w:val="00AC6E29"/>
    <w:rsid w:val="00AF058F"/>
    <w:rsid w:val="00B04DCE"/>
    <w:rsid w:val="00B05D10"/>
    <w:rsid w:val="00B15A98"/>
    <w:rsid w:val="00B2033B"/>
    <w:rsid w:val="00B20EDA"/>
    <w:rsid w:val="00B21CD9"/>
    <w:rsid w:val="00B22642"/>
    <w:rsid w:val="00B23222"/>
    <w:rsid w:val="00B264A9"/>
    <w:rsid w:val="00B270E5"/>
    <w:rsid w:val="00B312D2"/>
    <w:rsid w:val="00B336FB"/>
    <w:rsid w:val="00B34266"/>
    <w:rsid w:val="00B35C6C"/>
    <w:rsid w:val="00B35E49"/>
    <w:rsid w:val="00B35ED1"/>
    <w:rsid w:val="00B36394"/>
    <w:rsid w:val="00B40BFB"/>
    <w:rsid w:val="00B413EB"/>
    <w:rsid w:val="00B44CEC"/>
    <w:rsid w:val="00B5202E"/>
    <w:rsid w:val="00B55ECA"/>
    <w:rsid w:val="00B72138"/>
    <w:rsid w:val="00B73D93"/>
    <w:rsid w:val="00B7662A"/>
    <w:rsid w:val="00B800B9"/>
    <w:rsid w:val="00B80D4D"/>
    <w:rsid w:val="00B83881"/>
    <w:rsid w:val="00B9729D"/>
    <w:rsid w:val="00B97D17"/>
    <w:rsid w:val="00BA2455"/>
    <w:rsid w:val="00BA52BC"/>
    <w:rsid w:val="00BA7E3E"/>
    <w:rsid w:val="00BB04AA"/>
    <w:rsid w:val="00BB23EA"/>
    <w:rsid w:val="00BB3D7C"/>
    <w:rsid w:val="00BC2C6E"/>
    <w:rsid w:val="00BC32BE"/>
    <w:rsid w:val="00BC4F1C"/>
    <w:rsid w:val="00BC533E"/>
    <w:rsid w:val="00BC6759"/>
    <w:rsid w:val="00BD19AD"/>
    <w:rsid w:val="00BD1C93"/>
    <w:rsid w:val="00BE11A8"/>
    <w:rsid w:val="00C028BA"/>
    <w:rsid w:val="00C02EA8"/>
    <w:rsid w:val="00C05DA0"/>
    <w:rsid w:val="00C067B2"/>
    <w:rsid w:val="00C1412F"/>
    <w:rsid w:val="00C22390"/>
    <w:rsid w:val="00C22AD5"/>
    <w:rsid w:val="00C2627A"/>
    <w:rsid w:val="00C27BA3"/>
    <w:rsid w:val="00C33F69"/>
    <w:rsid w:val="00C4392D"/>
    <w:rsid w:val="00C5184F"/>
    <w:rsid w:val="00C535ED"/>
    <w:rsid w:val="00C57C1D"/>
    <w:rsid w:val="00C60597"/>
    <w:rsid w:val="00C62635"/>
    <w:rsid w:val="00C669ED"/>
    <w:rsid w:val="00C70988"/>
    <w:rsid w:val="00C83885"/>
    <w:rsid w:val="00C83DFA"/>
    <w:rsid w:val="00C84658"/>
    <w:rsid w:val="00C85B21"/>
    <w:rsid w:val="00C918D2"/>
    <w:rsid w:val="00C93222"/>
    <w:rsid w:val="00C95427"/>
    <w:rsid w:val="00CA3886"/>
    <w:rsid w:val="00CA5183"/>
    <w:rsid w:val="00CB2CA3"/>
    <w:rsid w:val="00CC1084"/>
    <w:rsid w:val="00CC3B7E"/>
    <w:rsid w:val="00CC5DC7"/>
    <w:rsid w:val="00CD0B22"/>
    <w:rsid w:val="00CD34DE"/>
    <w:rsid w:val="00CD63CB"/>
    <w:rsid w:val="00CE10D0"/>
    <w:rsid w:val="00CE58E5"/>
    <w:rsid w:val="00CE697E"/>
    <w:rsid w:val="00CE77EF"/>
    <w:rsid w:val="00CF6D52"/>
    <w:rsid w:val="00D03F08"/>
    <w:rsid w:val="00D07483"/>
    <w:rsid w:val="00D109FD"/>
    <w:rsid w:val="00D12BC3"/>
    <w:rsid w:val="00D13375"/>
    <w:rsid w:val="00D15D9B"/>
    <w:rsid w:val="00D217C8"/>
    <w:rsid w:val="00D257C1"/>
    <w:rsid w:val="00D2703F"/>
    <w:rsid w:val="00D300D7"/>
    <w:rsid w:val="00D30485"/>
    <w:rsid w:val="00D312DB"/>
    <w:rsid w:val="00D31EA4"/>
    <w:rsid w:val="00D35CFC"/>
    <w:rsid w:val="00D4108C"/>
    <w:rsid w:val="00D42A80"/>
    <w:rsid w:val="00D45A7A"/>
    <w:rsid w:val="00D552DA"/>
    <w:rsid w:val="00D565CE"/>
    <w:rsid w:val="00D5765F"/>
    <w:rsid w:val="00D57F9E"/>
    <w:rsid w:val="00D6436E"/>
    <w:rsid w:val="00D6441C"/>
    <w:rsid w:val="00D64A8F"/>
    <w:rsid w:val="00D70B0A"/>
    <w:rsid w:val="00D70DBC"/>
    <w:rsid w:val="00D72316"/>
    <w:rsid w:val="00D72E87"/>
    <w:rsid w:val="00D743CE"/>
    <w:rsid w:val="00D75D09"/>
    <w:rsid w:val="00D76CF6"/>
    <w:rsid w:val="00D81F36"/>
    <w:rsid w:val="00D822F3"/>
    <w:rsid w:val="00D8478B"/>
    <w:rsid w:val="00D8761F"/>
    <w:rsid w:val="00D95AC0"/>
    <w:rsid w:val="00D97ABD"/>
    <w:rsid w:val="00DA3D7F"/>
    <w:rsid w:val="00DB00B0"/>
    <w:rsid w:val="00DC51C5"/>
    <w:rsid w:val="00DD6A54"/>
    <w:rsid w:val="00DF0523"/>
    <w:rsid w:val="00DF3C58"/>
    <w:rsid w:val="00DF4B02"/>
    <w:rsid w:val="00E24FC3"/>
    <w:rsid w:val="00E30C71"/>
    <w:rsid w:val="00E51636"/>
    <w:rsid w:val="00E5521E"/>
    <w:rsid w:val="00E57357"/>
    <w:rsid w:val="00E6312A"/>
    <w:rsid w:val="00E6425F"/>
    <w:rsid w:val="00E65F32"/>
    <w:rsid w:val="00E73745"/>
    <w:rsid w:val="00E7523E"/>
    <w:rsid w:val="00E76575"/>
    <w:rsid w:val="00E80E88"/>
    <w:rsid w:val="00E83B36"/>
    <w:rsid w:val="00E83E8D"/>
    <w:rsid w:val="00E85333"/>
    <w:rsid w:val="00E91531"/>
    <w:rsid w:val="00E97CF0"/>
    <w:rsid w:val="00EA0288"/>
    <w:rsid w:val="00EA1A35"/>
    <w:rsid w:val="00EA6125"/>
    <w:rsid w:val="00EB2B66"/>
    <w:rsid w:val="00EB379C"/>
    <w:rsid w:val="00EB7D02"/>
    <w:rsid w:val="00EC10EE"/>
    <w:rsid w:val="00EC6A51"/>
    <w:rsid w:val="00ED250D"/>
    <w:rsid w:val="00ED4260"/>
    <w:rsid w:val="00ED4770"/>
    <w:rsid w:val="00EE1198"/>
    <w:rsid w:val="00EE6DFD"/>
    <w:rsid w:val="00EE76A3"/>
    <w:rsid w:val="00F0150A"/>
    <w:rsid w:val="00F069AC"/>
    <w:rsid w:val="00F12D33"/>
    <w:rsid w:val="00F14422"/>
    <w:rsid w:val="00F20F05"/>
    <w:rsid w:val="00F2273E"/>
    <w:rsid w:val="00F34AF3"/>
    <w:rsid w:val="00F3750D"/>
    <w:rsid w:val="00F42571"/>
    <w:rsid w:val="00F42B15"/>
    <w:rsid w:val="00F544CC"/>
    <w:rsid w:val="00F549ED"/>
    <w:rsid w:val="00F54FF0"/>
    <w:rsid w:val="00F7001F"/>
    <w:rsid w:val="00F870DB"/>
    <w:rsid w:val="00F91E0C"/>
    <w:rsid w:val="00F926E8"/>
    <w:rsid w:val="00FA1836"/>
    <w:rsid w:val="00FA2EB4"/>
    <w:rsid w:val="00FA357F"/>
    <w:rsid w:val="00FA3E08"/>
    <w:rsid w:val="00FB23C3"/>
    <w:rsid w:val="00FB6C49"/>
    <w:rsid w:val="00FB79BD"/>
    <w:rsid w:val="00FC5DA3"/>
    <w:rsid w:val="00FC7390"/>
    <w:rsid w:val="00FD0473"/>
    <w:rsid w:val="00FD319F"/>
    <w:rsid w:val="00FD4DC2"/>
    <w:rsid w:val="00FD5479"/>
    <w:rsid w:val="00FE289C"/>
    <w:rsid w:val="00FE3C4E"/>
    <w:rsid w:val="00FF61D4"/>
    <w:rsid w:val="01039CA6"/>
    <w:rsid w:val="01FA6CDB"/>
    <w:rsid w:val="03FE3AF9"/>
    <w:rsid w:val="07E1CF94"/>
    <w:rsid w:val="0898093E"/>
    <w:rsid w:val="09AA023B"/>
    <w:rsid w:val="0B6B2580"/>
    <w:rsid w:val="0BA6F0FD"/>
    <w:rsid w:val="0C39EBBC"/>
    <w:rsid w:val="0E7C6ADD"/>
    <w:rsid w:val="109B49C3"/>
    <w:rsid w:val="10B4BE36"/>
    <w:rsid w:val="13829890"/>
    <w:rsid w:val="13CD2181"/>
    <w:rsid w:val="1700B74F"/>
    <w:rsid w:val="180B8A3B"/>
    <w:rsid w:val="181AED5C"/>
    <w:rsid w:val="1BE00C43"/>
    <w:rsid w:val="1D2994AF"/>
    <w:rsid w:val="1DBE5DA1"/>
    <w:rsid w:val="1EC2504E"/>
    <w:rsid w:val="1F14737D"/>
    <w:rsid w:val="1FC7BB60"/>
    <w:rsid w:val="2051B543"/>
    <w:rsid w:val="2122E312"/>
    <w:rsid w:val="21499073"/>
    <w:rsid w:val="229994EC"/>
    <w:rsid w:val="22C3FB43"/>
    <w:rsid w:val="23C82A33"/>
    <w:rsid w:val="23D0AC10"/>
    <w:rsid w:val="26ADE310"/>
    <w:rsid w:val="26FEF91B"/>
    <w:rsid w:val="2780DCA5"/>
    <w:rsid w:val="281BD51F"/>
    <w:rsid w:val="2904C339"/>
    <w:rsid w:val="2F9B56FA"/>
    <w:rsid w:val="319FD21A"/>
    <w:rsid w:val="32EC184E"/>
    <w:rsid w:val="3322341C"/>
    <w:rsid w:val="3323E8C5"/>
    <w:rsid w:val="33FC309D"/>
    <w:rsid w:val="37957421"/>
    <w:rsid w:val="3A8FD773"/>
    <w:rsid w:val="3B16271D"/>
    <w:rsid w:val="3E0BC801"/>
    <w:rsid w:val="3E29A0F4"/>
    <w:rsid w:val="3E3E6B28"/>
    <w:rsid w:val="3F23E1C8"/>
    <w:rsid w:val="3F6F5BA7"/>
    <w:rsid w:val="3FA0568A"/>
    <w:rsid w:val="3FAC4977"/>
    <w:rsid w:val="3FDED4C8"/>
    <w:rsid w:val="402CEAB9"/>
    <w:rsid w:val="4035BD5F"/>
    <w:rsid w:val="41065BCC"/>
    <w:rsid w:val="41766F14"/>
    <w:rsid w:val="44437D31"/>
    <w:rsid w:val="44AB34CA"/>
    <w:rsid w:val="44F91D3D"/>
    <w:rsid w:val="4563B7A1"/>
    <w:rsid w:val="46D5C79C"/>
    <w:rsid w:val="47720DCC"/>
    <w:rsid w:val="49CD0BB4"/>
    <w:rsid w:val="49D468D4"/>
    <w:rsid w:val="4BAF1405"/>
    <w:rsid w:val="4D3AC2ED"/>
    <w:rsid w:val="4D498E06"/>
    <w:rsid w:val="4EF0AEA2"/>
    <w:rsid w:val="4FCD2E40"/>
    <w:rsid w:val="4FCDE5DA"/>
    <w:rsid w:val="50A59F8F"/>
    <w:rsid w:val="5296871E"/>
    <w:rsid w:val="52FAB5A1"/>
    <w:rsid w:val="543AFC61"/>
    <w:rsid w:val="553ABD49"/>
    <w:rsid w:val="5867FD06"/>
    <w:rsid w:val="58695F45"/>
    <w:rsid w:val="587539B8"/>
    <w:rsid w:val="5A3C6C82"/>
    <w:rsid w:val="5A50082C"/>
    <w:rsid w:val="5B8AD29B"/>
    <w:rsid w:val="5D1EB515"/>
    <w:rsid w:val="5F1130A2"/>
    <w:rsid w:val="609D12F7"/>
    <w:rsid w:val="61A09E8D"/>
    <w:rsid w:val="61FB3F9C"/>
    <w:rsid w:val="61FD13E7"/>
    <w:rsid w:val="62CE2BB1"/>
    <w:rsid w:val="636721FD"/>
    <w:rsid w:val="65E4A618"/>
    <w:rsid w:val="661AD5D8"/>
    <w:rsid w:val="663498A1"/>
    <w:rsid w:val="664C1163"/>
    <w:rsid w:val="66BEB2EF"/>
    <w:rsid w:val="66E283D8"/>
    <w:rsid w:val="6D8BFFDE"/>
    <w:rsid w:val="6D920786"/>
    <w:rsid w:val="6DCDD3C1"/>
    <w:rsid w:val="6F72F2E4"/>
    <w:rsid w:val="714CAC08"/>
    <w:rsid w:val="72E9EEEC"/>
    <w:rsid w:val="741FEC6D"/>
    <w:rsid w:val="747FDEF5"/>
    <w:rsid w:val="74CFD1B0"/>
    <w:rsid w:val="77A3E4C2"/>
    <w:rsid w:val="79C312E0"/>
    <w:rsid w:val="7B53A354"/>
    <w:rsid w:val="7BD5B859"/>
    <w:rsid w:val="7C92CB48"/>
    <w:rsid w:val="7DC3EC50"/>
    <w:rsid w:val="7F458B71"/>
    <w:rsid w:val="7F99BC39"/>
    <w:rsid w:val="7FEF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E4B21"/>
  <w15:chartTrackingRefBased/>
  <w15:docId w15:val="{A7B79894-EF4B-4901-843B-7BC15DE86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F62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2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2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2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2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2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2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2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62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F62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F62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F62C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F62C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F62C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F62C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F62C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F62C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F62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1F6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2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F62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2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1F62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2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2C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2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1F62C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F62C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22A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ae">
    <w:name w:val="footer"/>
    <w:basedOn w:val="a"/>
    <w:link w:val="af"/>
    <w:uiPriority w:val="99"/>
    <w:unhideWhenUsed/>
    <w:rsid w:val="007D5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7D5C6C"/>
  </w:style>
  <w:style w:type="character" w:styleId="af0">
    <w:name w:val="Hyperlink"/>
    <w:basedOn w:val="a0"/>
    <w:uiPriority w:val="99"/>
    <w:unhideWhenUsed/>
    <w:rsid w:val="00AF058F"/>
    <w:rPr>
      <w:color w:val="467886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232FC9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232FC9"/>
    <w:pPr>
      <w:spacing w:line="240" w:lineRule="auto"/>
    </w:pPr>
    <w:rPr>
      <w:sz w:val="20"/>
      <w:szCs w:val="20"/>
    </w:rPr>
  </w:style>
  <w:style w:type="character" w:customStyle="1" w:styleId="af3">
    <w:name w:val="Текст примітки Знак"/>
    <w:basedOn w:val="a0"/>
    <w:link w:val="af2"/>
    <w:uiPriority w:val="99"/>
    <w:rsid w:val="00232FC9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32FC9"/>
    <w:rPr>
      <w:b/>
      <w:bCs/>
    </w:rPr>
  </w:style>
  <w:style w:type="character" w:customStyle="1" w:styleId="af5">
    <w:name w:val="Тема примітки Знак"/>
    <w:basedOn w:val="af3"/>
    <w:link w:val="af4"/>
    <w:uiPriority w:val="99"/>
    <w:semiHidden/>
    <w:rsid w:val="00232FC9"/>
    <w:rPr>
      <w:b/>
      <w:bCs/>
      <w:sz w:val="20"/>
      <w:szCs w:val="20"/>
    </w:rPr>
  </w:style>
  <w:style w:type="character" w:styleId="af6">
    <w:name w:val="Unresolved Mention"/>
    <w:basedOn w:val="a0"/>
    <w:uiPriority w:val="99"/>
    <w:semiHidden/>
    <w:unhideWhenUsed/>
    <w:rsid w:val="000E6B1C"/>
    <w:rPr>
      <w:color w:val="605E5C"/>
      <w:shd w:val="clear" w:color="auto" w:fill="E1DFDD"/>
    </w:rPr>
  </w:style>
  <w:style w:type="paragraph" w:styleId="af7">
    <w:name w:val="header"/>
    <w:basedOn w:val="a"/>
    <w:link w:val="af8"/>
    <w:uiPriority w:val="99"/>
    <w:unhideWhenUsed/>
    <w:rsid w:val="00856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8">
    <w:name w:val="Верхній колонтитул Знак"/>
    <w:basedOn w:val="a0"/>
    <w:link w:val="af7"/>
    <w:uiPriority w:val="99"/>
    <w:rsid w:val="008568AD"/>
  </w:style>
  <w:style w:type="paragraph" w:styleId="af9">
    <w:name w:val="Revision"/>
    <w:hidden/>
    <w:uiPriority w:val="99"/>
    <w:semiHidden/>
    <w:rsid w:val="00A64462"/>
    <w:pPr>
      <w:spacing w:after="0" w:line="240" w:lineRule="auto"/>
    </w:pPr>
  </w:style>
  <w:style w:type="character" w:styleId="afa">
    <w:name w:val="Placeholder Text"/>
    <w:basedOn w:val="a0"/>
    <w:uiPriority w:val="99"/>
    <w:semiHidden/>
    <w:rsid w:val="00124FF7"/>
    <w:rPr>
      <w:color w:val="666666"/>
    </w:rPr>
  </w:style>
  <w:style w:type="character" w:styleId="afb">
    <w:name w:val="FollowedHyperlink"/>
    <w:basedOn w:val="a0"/>
    <w:uiPriority w:val="99"/>
    <w:semiHidden/>
    <w:unhideWhenUsed/>
    <w:rsid w:val="00F069A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9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reliefweb.int/report/ukraine/urcs-one-plan-2023-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dcross.org.ua/information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B7ED4-213E-41A1-AD48-4CBA91038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7366</Words>
  <Characters>4199</Characters>
  <Application>Microsoft Office Word</Application>
  <DocSecurity>0</DocSecurity>
  <Lines>34</Lines>
  <Paragraphs>23</Paragraphs>
  <ScaleCrop>false</ScaleCrop>
  <Company>IFRC</Company>
  <LinksUpToDate>false</LinksUpToDate>
  <CharactersWithSpaces>11542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Aishah Mohd Amin</dc:creator>
  <cp:keywords/>
  <dc:description/>
  <cp:lastModifiedBy>Yuliia Danylenko</cp:lastModifiedBy>
  <cp:revision>24</cp:revision>
  <cp:lastPrinted>2024-11-11T09:43:00Z</cp:lastPrinted>
  <dcterms:created xsi:type="dcterms:W3CDTF">2024-12-29T22:59:00Z</dcterms:created>
  <dcterms:modified xsi:type="dcterms:W3CDTF">2025-01-07T12:57:00Z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2e200845,7bb44a68,45ecd521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Public</vt:lpwstr>
  </property>
  <property fmtid="{D5CDD505-2E9C-101B-9397-08002B2CF9AE}" pid="5" name="MSIP_Label_caf3f7fd-5cd4-4287-9002-aceb9af13c42_Enabled">
    <vt:lpwstr>true</vt:lpwstr>
  </property>
  <property fmtid="{D5CDD505-2E9C-101B-9397-08002B2CF9AE}" pid="6" name="MSIP_Label_caf3f7fd-5cd4-4287-9002-aceb9af13c42_SetDate">
    <vt:lpwstr>2024-10-07T12:42:38Z</vt:lpwstr>
  </property>
  <property fmtid="{D5CDD505-2E9C-101B-9397-08002B2CF9AE}" pid="7" name="MSIP_Label_caf3f7fd-5cd4-4287-9002-aceb9af13c42_Method">
    <vt:lpwstr>Privileged</vt:lpwstr>
  </property>
  <property fmtid="{D5CDD505-2E9C-101B-9397-08002B2CF9AE}" pid="8" name="MSIP_Label_caf3f7fd-5cd4-4287-9002-aceb9af13c42_Name">
    <vt:lpwstr>Public</vt:lpwstr>
  </property>
  <property fmtid="{D5CDD505-2E9C-101B-9397-08002B2CF9AE}" pid="9" name="MSIP_Label_caf3f7fd-5cd4-4287-9002-aceb9af13c42_SiteId">
    <vt:lpwstr>a2b53be5-734e-4e6c-ab0d-d184f60fd917</vt:lpwstr>
  </property>
  <property fmtid="{D5CDD505-2E9C-101B-9397-08002B2CF9AE}" pid="10" name="MSIP_Label_caf3f7fd-5cd4-4287-9002-aceb9af13c42_ActionId">
    <vt:lpwstr>197aa108-bc0c-4622-947b-8c337f23b439</vt:lpwstr>
  </property>
  <property fmtid="{D5CDD505-2E9C-101B-9397-08002B2CF9AE}" pid="11" name="MSIP_Label_caf3f7fd-5cd4-4287-9002-aceb9af13c42_ContentBits">
    <vt:lpwstr>2</vt:lpwstr>
  </property>
</Properties>
</file>