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04BF17F"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52C2E">
        <w:rPr>
          <w:b/>
          <w:sz w:val="22"/>
          <w:szCs w:val="22"/>
          <w:lang w:val="uk-UA"/>
        </w:rPr>
        <w:t>«</w:t>
      </w:r>
      <w:r w:rsidR="00532638" w:rsidRPr="00D52C2E">
        <w:rPr>
          <w:b/>
          <w:sz w:val="22"/>
          <w:szCs w:val="22"/>
          <w:lang w:val="uk-UA"/>
        </w:rPr>
        <w:t>20</w:t>
      </w:r>
      <w:r w:rsidR="005A5F8A" w:rsidRPr="00D52C2E">
        <w:rPr>
          <w:b/>
          <w:sz w:val="22"/>
          <w:szCs w:val="22"/>
          <w:lang w:val="uk-UA"/>
        </w:rPr>
        <w:t xml:space="preserve">» </w:t>
      </w:r>
      <w:r w:rsidR="00532638" w:rsidRPr="00D52C2E">
        <w:rPr>
          <w:b/>
          <w:sz w:val="22"/>
          <w:szCs w:val="22"/>
          <w:lang w:val="uk-UA"/>
        </w:rPr>
        <w:t>грудня</w:t>
      </w:r>
      <w:r w:rsidR="005A5F8A" w:rsidRPr="00D52C2E">
        <w:rPr>
          <w:b/>
          <w:sz w:val="22"/>
          <w:szCs w:val="22"/>
          <w:lang w:val="uk-UA"/>
        </w:rPr>
        <w:t xml:space="preserve"> 202</w:t>
      </w:r>
      <w:r w:rsidR="00532638" w:rsidRPr="00D52C2E">
        <w:rPr>
          <w:b/>
          <w:sz w:val="22"/>
          <w:szCs w:val="22"/>
          <w:lang w:val="uk-UA"/>
        </w:rPr>
        <w:t>4</w:t>
      </w:r>
      <w:r w:rsidR="005A5F8A" w:rsidRPr="00D52C2E">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38A0CBBA"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D05F9B">
        <w:rPr>
          <w:b/>
          <w:bCs/>
          <w:sz w:val="22"/>
          <w:szCs w:val="22"/>
          <w:lang w:val="uk-UA"/>
        </w:rPr>
        <w:t>_1659ОК</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71AFD5BB"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Pr="00F3456C">
        <w:rPr>
          <w:spacing w:val="-4"/>
          <w:sz w:val="22"/>
          <w:szCs w:val="22"/>
          <w:lang w:val="uk-UA"/>
        </w:rPr>
        <w:t xml:space="preserve">тендер на </w:t>
      </w:r>
      <w:r w:rsidR="00FF270D">
        <w:rPr>
          <w:spacing w:val="-4"/>
          <w:sz w:val="22"/>
          <w:szCs w:val="22"/>
          <w:lang w:val="uk-UA"/>
        </w:rPr>
        <w:t xml:space="preserve">закупівлю </w:t>
      </w:r>
      <w:r w:rsidR="00F3456C" w:rsidRPr="00F3456C">
        <w:rPr>
          <w:lang w:val="uk-UA"/>
        </w:rPr>
        <w:t>послуг з аудиту річної фінансової звітності за 2024, 2025 та 2026 роки</w:t>
      </w:r>
      <w:r w:rsidR="006F482D" w:rsidRPr="00F3456C">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7266"/>
        <w:gridCol w:w="1134"/>
        <w:gridCol w:w="1388"/>
      </w:tblGrid>
      <w:tr w:rsidR="004C2787" w:rsidRPr="000B48D8" w14:paraId="56DE4E59" w14:textId="77777777" w:rsidTr="004344A3">
        <w:trPr>
          <w:trHeight w:val="275"/>
        </w:trPr>
        <w:tc>
          <w:tcPr>
            <w:tcW w:w="432"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7266"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134"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1388"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87BE2" w:rsidRPr="000B48D8" w14:paraId="0F594BD0" w14:textId="77777777" w:rsidTr="004344A3">
        <w:trPr>
          <w:trHeight w:val="277"/>
        </w:trPr>
        <w:tc>
          <w:tcPr>
            <w:tcW w:w="432" w:type="dxa"/>
            <w:vAlign w:val="center"/>
          </w:tcPr>
          <w:p w14:paraId="29708A12" w14:textId="2C2E27D3" w:rsidR="00C87BE2" w:rsidRPr="00C87BE2" w:rsidRDefault="00C87BE2" w:rsidP="00C87BE2">
            <w:pPr>
              <w:rPr>
                <w:spacing w:val="-6"/>
                <w:sz w:val="22"/>
                <w:szCs w:val="22"/>
                <w:lang w:val="uk-UA"/>
              </w:rPr>
            </w:pPr>
            <w:r w:rsidRPr="00C87BE2">
              <w:rPr>
                <w:b/>
                <w:bCs/>
                <w:spacing w:val="-6"/>
                <w:sz w:val="22"/>
                <w:szCs w:val="22"/>
                <w:lang w:val="uk-UA"/>
              </w:rPr>
              <w:t>1</w:t>
            </w:r>
          </w:p>
        </w:tc>
        <w:tc>
          <w:tcPr>
            <w:tcW w:w="7266" w:type="dxa"/>
            <w:shd w:val="clear" w:color="auto" w:fill="auto"/>
            <w:vAlign w:val="center"/>
          </w:tcPr>
          <w:p w14:paraId="5D6D90EE" w14:textId="5023D186" w:rsidR="00C87BE2" w:rsidRPr="00EE79A6" w:rsidRDefault="00C87BE2" w:rsidP="00C87BE2">
            <w:pPr>
              <w:jc w:val="both"/>
              <w:rPr>
                <w:sz w:val="22"/>
                <w:szCs w:val="22"/>
                <w:lang w:val="uk-UA"/>
              </w:rPr>
            </w:pPr>
            <w:r w:rsidRPr="00EE79A6">
              <w:rPr>
                <w:sz w:val="22"/>
                <w:szCs w:val="22"/>
                <w:lang w:val="uk-UA"/>
              </w:rPr>
              <w:t>Аудит річної фінансової звітності ТЧХУ за рік, що закінчиться 31 грудня 2024, яка складається згідно з вимогами П(С)БО.</w:t>
            </w:r>
          </w:p>
        </w:tc>
        <w:tc>
          <w:tcPr>
            <w:tcW w:w="1134" w:type="dxa"/>
            <w:shd w:val="clear" w:color="auto" w:fill="auto"/>
            <w:vAlign w:val="center"/>
          </w:tcPr>
          <w:p w14:paraId="4F5DE3BC" w14:textId="5825E972" w:rsidR="00C87BE2" w:rsidRPr="0068315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val="restart"/>
            <w:shd w:val="clear" w:color="auto" w:fill="auto"/>
            <w:vAlign w:val="center"/>
          </w:tcPr>
          <w:p w14:paraId="5FF68500" w14:textId="37A5E9A5" w:rsidR="00C87BE2" w:rsidRPr="0068315F" w:rsidRDefault="0068315F" w:rsidP="00C87BE2">
            <w:pPr>
              <w:ind w:right="-5"/>
              <w:jc w:val="center"/>
              <w:rPr>
                <w:bCs/>
                <w:spacing w:val="-6"/>
                <w:sz w:val="22"/>
                <w:szCs w:val="22"/>
                <w:lang w:val="uk-UA"/>
              </w:rPr>
            </w:pPr>
            <w:r w:rsidRPr="0068315F">
              <w:rPr>
                <w:bCs/>
                <w:spacing w:val="-6"/>
                <w:sz w:val="22"/>
                <w:szCs w:val="22"/>
                <w:lang w:val="uk-UA"/>
              </w:rPr>
              <w:t>Інформація вказана в Додатку № 2 та Додатку № 3 до Запиту про Тендер</w:t>
            </w:r>
          </w:p>
        </w:tc>
      </w:tr>
      <w:tr w:rsidR="00C87BE2" w:rsidRPr="000B48D8" w14:paraId="2397A812" w14:textId="77777777" w:rsidTr="004344A3">
        <w:trPr>
          <w:trHeight w:val="68"/>
        </w:trPr>
        <w:tc>
          <w:tcPr>
            <w:tcW w:w="432" w:type="dxa"/>
            <w:vAlign w:val="center"/>
          </w:tcPr>
          <w:p w14:paraId="1BA537BE" w14:textId="769443A9" w:rsidR="00C87BE2" w:rsidRPr="00C87BE2" w:rsidRDefault="00C87BE2" w:rsidP="00C87BE2">
            <w:pPr>
              <w:ind w:right="-306"/>
              <w:rPr>
                <w:spacing w:val="-6"/>
                <w:sz w:val="22"/>
                <w:szCs w:val="22"/>
                <w:lang w:val="uk-UA"/>
              </w:rPr>
            </w:pPr>
            <w:r w:rsidRPr="00C87BE2">
              <w:rPr>
                <w:b/>
                <w:bCs/>
                <w:sz w:val="22"/>
                <w:szCs w:val="22"/>
                <w:lang w:val="uk-UA"/>
              </w:rPr>
              <w:t>2</w:t>
            </w:r>
          </w:p>
        </w:tc>
        <w:tc>
          <w:tcPr>
            <w:tcW w:w="7266" w:type="dxa"/>
            <w:shd w:val="clear" w:color="auto" w:fill="auto"/>
            <w:vAlign w:val="center"/>
          </w:tcPr>
          <w:p w14:paraId="2C5841BA" w14:textId="30F49C36" w:rsidR="00C87BE2" w:rsidRPr="00EE79A6" w:rsidRDefault="00C87BE2" w:rsidP="00C87BE2">
            <w:pPr>
              <w:ind w:right="92"/>
              <w:rPr>
                <w:spacing w:val="-6"/>
                <w:sz w:val="22"/>
                <w:szCs w:val="22"/>
                <w:lang w:val="uk-UA"/>
              </w:rPr>
            </w:pPr>
            <w:r w:rsidRPr="00EE79A6">
              <w:rPr>
                <w:sz w:val="22"/>
                <w:szCs w:val="22"/>
                <w:lang w:val="uk-UA"/>
              </w:rPr>
              <w:t>Аудит консолідованої річної звітності ТЧХУ за рік, що закінчився 31 грудня 2024, яка складається за вимогами П(С)БО.</w:t>
            </w:r>
          </w:p>
        </w:tc>
        <w:tc>
          <w:tcPr>
            <w:tcW w:w="1134" w:type="dxa"/>
            <w:shd w:val="clear" w:color="auto" w:fill="auto"/>
            <w:vAlign w:val="center"/>
          </w:tcPr>
          <w:p w14:paraId="50DE3DE8" w14:textId="41799A66" w:rsidR="00C87BE2" w:rsidRPr="00A3721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shd w:val="clear" w:color="auto" w:fill="auto"/>
            <w:vAlign w:val="center"/>
          </w:tcPr>
          <w:p w14:paraId="78F9D61A" w14:textId="77777777" w:rsidR="00C87BE2" w:rsidRPr="00A3721F" w:rsidRDefault="00C87BE2" w:rsidP="00C87BE2">
            <w:pPr>
              <w:ind w:right="-5"/>
              <w:jc w:val="center"/>
              <w:rPr>
                <w:bCs/>
                <w:spacing w:val="-6"/>
                <w:sz w:val="22"/>
                <w:szCs w:val="22"/>
                <w:lang w:val="uk-UA"/>
              </w:rPr>
            </w:pPr>
          </w:p>
        </w:tc>
      </w:tr>
      <w:tr w:rsidR="00C87BE2" w:rsidRPr="000B48D8" w14:paraId="7B18FFEA" w14:textId="77777777" w:rsidTr="004344A3">
        <w:trPr>
          <w:trHeight w:val="68"/>
        </w:trPr>
        <w:tc>
          <w:tcPr>
            <w:tcW w:w="432" w:type="dxa"/>
            <w:vAlign w:val="center"/>
          </w:tcPr>
          <w:p w14:paraId="6D3032E1" w14:textId="33199A29" w:rsidR="00C87BE2" w:rsidRPr="00C87BE2" w:rsidRDefault="00C87BE2" w:rsidP="00C87BE2">
            <w:pPr>
              <w:ind w:right="-306"/>
              <w:rPr>
                <w:spacing w:val="-6"/>
                <w:sz w:val="22"/>
                <w:szCs w:val="22"/>
                <w:lang w:val="uk-UA"/>
              </w:rPr>
            </w:pPr>
            <w:r w:rsidRPr="00C87BE2">
              <w:rPr>
                <w:b/>
                <w:bCs/>
                <w:sz w:val="22"/>
                <w:szCs w:val="22"/>
                <w:lang w:val="uk-UA"/>
              </w:rPr>
              <w:t>3</w:t>
            </w:r>
          </w:p>
        </w:tc>
        <w:tc>
          <w:tcPr>
            <w:tcW w:w="7266" w:type="dxa"/>
            <w:shd w:val="clear" w:color="auto" w:fill="auto"/>
            <w:vAlign w:val="center"/>
          </w:tcPr>
          <w:p w14:paraId="6D1CCD8F" w14:textId="783BE8DD" w:rsidR="00C87BE2" w:rsidRPr="00EE79A6" w:rsidRDefault="00C87BE2" w:rsidP="00C87BE2">
            <w:pPr>
              <w:ind w:right="92"/>
              <w:rPr>
                <w:spacing w:val="-6"/>
                <w:sz w:val="22"/>
                <w:szCs w:val="22"/>
                <w:lang w:val="uk-UA"/>
              </w:rPr>
            </w:pPr>
            <w:r w:rsidRPr="00EE79A6">
              <w:rPr>
                <w:sz w:val="22"/>
                <w:szCs w:val="22"/>
                <w:lang w:val="uk-UA"/>
              </w:rPr>
              <w:t>Аудит річної фінансової звітності ТЧХУ за рік, що закінчиться 31 грудня 2025, яка складається згідно з вимогами П(С)БО.</w:t>
            </w:r>
          </w:p>
        </w:tc>
        <w:tc>
          <w:tcPr>
            <w:tcW w:w="1134" w:type="dxa"/>
            <w:shd w:val="clear" w:color="auto" w:fill="auto"/>
            <w:vAlign w:val="center"/>
          </w:tcPr>
          <w:p w14:paraId="0506CF7A" w14:textId="712508AD" w:rsidR="00C87BE2" w:rsidRPr="00A3721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shd w:val="clear" w:color="auto" w:fill="auto"/>
            <w:vAlign w:val="center"/>
          </w:tcPr>
          <w:p w14:paraId="71523DC7" w14:textId="77777777" w:rsidR="00C87BE2" w:rsidRPr="00A3721F" w:rsidRDefault="00C87BE2" w:rsidP="00C87BE2">
            <w:pPr>
              <w:ind w:right="-5"/>
              <w:jc w:val="center"/>
              <w:rPr>
                <w:bCs/>
                <w:spacing w:val="-6"/>
                <w:sz w:val="22"/>
                <w:szCs w:val="22"/>
                <w:lang w:val="uk-UA"/>
              </w:rPr>
            </w:pPr>
          </w:p>
        </w:tc>
      </w:tr>
      <w:tr w:rsidR="00C87BE2" w:rsidRPr="000B48D8" w14:paraId="1A7D6C21" w14:textId="77777777" w:rsidTr="004344A3">
        <w:trPr>
          <w:trHeight w:val="68"/>
        </w:trPr>
        <w:tc>
          <w:tcPr>
            <w:tcW w:w="432" w:type="dxa"/>
            <w:vAlign w:val="center"/>
          </w:tcPr>
          <w:p w14:paraId="16F8F1B7" w14:textId="2D615B8D" w:rsidR="00C87BE2" w:rsidRPr="00C87BE2" w:rsidRDefault="00C87BE2" w:rsidP="00C87BE2">
            <w:pPr>
              <w:ind w:right="-306"/>
              <w:rPr>
                <w:spacing w:val="-6"/>
                <w:sz w:val="22"/>
                <w:szCs w:val="22"/>
                <w:lang w:val="uk-UA"/>
              </w:rPr>
            </w:pPr>
            <w:r w:rsidRPr="00C87BE2">
              <w:rPr>
                <w:b/>
                <w:bCs/>
                <w:sz w:val="22"/>
                <w:szCs w:val="22"/>
                <w:lang w:val="uk-UA"/>
              </w:rPr>
              <w:t>4</w:t>
            </w:r>
          </w:p>
        </w:tc>
        <w:tc>
          <w:tcPr>
            <w:tcW w:w="7266" w:type="dxa"/>
            <w:shd w:val="clear" w:color="auto" w:fill="auto"/>
            <w:vAlign w:val="center"/>
          </w:tcPr>
          <w:p w14:paraId="675DBBA4" w14:textId="0B01EE0B" w:rsidR="00C87BE2" w:rsidRPr="00EE79A6" w:rsidRDefault="00C87BE2" w:rsidP="00C87BE2">
            <w:pPr>
              <w:ind w:right="92"/>
              <w:rPr>
                <w:spacing w:val="-6"/>
                <w:sz w:val="22"/>
                <w:szCs w:val="22"/>
                <w:lang w:val="uk-UA"/>
              </w:rPr>
            </w:pPr>
            <w:r w:rsidRPr="00EE79A6">
              <w:rPr>
                <w:sz w:val="22"/>
                <w:szCs w:val="22"/>
                <w:lang w:val="uk-UA"/>
              </w:rPr>
              <w:t>Аудит консолідованої річної фінансової звітності ТЧХУ за рік, що закінчиться 31 грудня 2025, яка складається згідно з вимогами П(С)БО.</w:t>
            </w:r>
          </w:p>
        </w:tc>
        <w:tc>
          <w:tcPr>
            <w:tcW w:w="1134" w:type="dxa"/>
            <w:shd w:val="clear" w:color="auto" w:fill="auto"/>
            <w:vAlign w:val="center"/>
          </w:tcPr>
          <w:p w14:paraId="11F46B55" w14:textId="34CADBF2" w:rsidR="00C87BE2" w:rsidRPr="00A3721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shd w:val="clear" w:color="auto" w:fill="auto"/>
            <w:vAlign w:val="center"/>
          </w:tcPr>
          <w:p w14:paraId="68C64CCE" w14:textId="77777777" w:rsidR="00C87BE2" w:rsidRPr="00A3721F" w:rsidRDefault="00C87BE2" w:rsidP="00C87BE2">
            <w:pPr>
              <w:ind w:right="-5"/>
              <w:jc w:val="center"/>
              <w:rPr>
                <w:bCs/>
                <w:spacing w:val="-6"/>
                <w:sz w:val="22"/>
                <w:szCs w:val="22"/>
                <w:lang w:val="uk-UA"/>
              </w:rPr>
            </w:pPr>
          </w:p>
        </w:tc>
      </w:tr>
      <w:tr w:rsidR="00C87BE2" w:rsidRPr="000B48D8" w14:paraId="4409D296" w14:textId="77777777" w:rsidTr="004344A3">
        <w:trPr>
          <w:trHeight w:val="68"/>
        </w:trPr>
        <w:tc>
          <w:tcPr>
            <w:tcW w:w="432" w:type="dxa"/>
            <w:vAlign w:val="center"/>
          </w:tcPr>
          <w:p w14:paraId="21F5A31E" w14:textId="3CBAD3ED" w:rsidR="00C87BE2" w:rsidRPr="00C87BE2" w:rsidRDefault="00C87BE2" w:rsidP="00C87BE2">
            <w:pPr>
              <w:spacing w:line="259" w:lineRule="auto"/>
              <w:jc w:val="center"/>
              <w:rPr>
                <w:b/>
                <w:bCs/>
                <w:sz w:val="22"/>
                <w:szCs w:val="22"/>
                <w:lang w:val="uk-UA"/>
              </w:rPr>
            </w:pPr>
            <w:r w:rsidRPr="00C87BE2">
              <w:rPr>
                <w:b/>
                <w:bCs/>
                <w:sz w:val="22"/>
                <w:szCs w:val="22"/>
                <w:lang w:val="uk-UA"/>
              </w:rPr>
              <w:t>5</w:t>
            </w:r>
          </w:p>
        </w:tc>
        <w:tc>
          <w:tcPr>
            <w:tcW w:w="7266" w:type="dxa"/>
            <w:shd w:val="clear" w:color="auto" w:fill="auto"/>
            <w:vAlign w:val="center"/>
          </w:tcPr>
          <w:p w14:paraId="677F6C5F" w14:textId="083EC470" w:rsidR="00C87BE2" w:rsidRPr="00EE79A6" w:rsidRDefault="00C87BE2" w:rsidP="00C87BE2">
            <w:pPr>
              <w:jc w:val="both"/>
              <w:rPr>
                <w:sz w:val="22"/>
                <w:szCs w:val="22"/>
                <w:lang w:val="uk-UA"/>
              </w:rPr>
            </w:pPr>
            <w:r w:rsidRPr="00EE79A6">
              <w:rPr>
                <w:sz w:val="22"/>
                <w:szCs w:val="22"/>
                <w:lang w:val="uk-UA"/>
              </w:rPr>
              <w:t>Аудит першої фінансової звітності ТЧХУ, складеної у відповідності до МСФЗ за  рік, що закінчиться 31 грудня 2026 року (на підставі таксономії фінансової звітності за міжнародними стандартами).</w:t>
            </w:r>
          </w:p>
        </w:tc>
        <w:tc>
          <w:tcPr>
            <w:tcW w:w="1134" w:type="dxa"/>
            <w:shd w:val="clear" w:color="auto" w:fill="auto"/>
            <w:vAlign w:val="center"/>
          </w:tcPr>
          <w:p w14:paraId="1E6D5460" w14:textId="65649992" w:rsidR="00C87BE2" w:rsidRPr="00A3721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shd w:val="clear" w:color="auto" w:fill="auto"/>
            <w:vAlign w:val="center"/>
          </w:tcPr>
          <w:p w14:paraId="634AB4E0" w14:textId="77777777" w:rsidR="00C87BE2" w:rsidRPr="00A3721F" w:rsidRDefault="00C87BE2" w:rsidP="00C87BE2">
            <w:pPr>
              <w:ind w:right="-5"/>
              <w:jc w:val="center"/>
              <w:rPr>
                <w:bCs/>
                <w:spacing w:val="-6"/>
                <w:sz w:val="22"/>
                <w:szCs w:val="22"/>
                <w:lang w:val="uk-UA"/>
              </w:rPr>
            </w:pPr>
          </w:p>
        </w:tc>
      </w:tr>
      <w:tr w:rsidR="00C87BE2" w:rsidRPr="000B48D8" w14:paraId="31B1A712" w14:textId="77777777" w:rsidTr="004344A3">
        <w:trPr>
          <w:trHeight w:val="572"/>
        </w:trPr>
        <w:tc>
          <w:tcPr>
            <w:tcW w:w="432" w:type="dxa"/>
            <w:vAlign w:val="center"/>
          </w:tcPr>
          <w:p w14:paraId="1D997F51" w14:textId="5EC6C214" w:rsidR="00C87BE2" w:rsidRPr="00C87BE2" w:rsidRDefault="00C87BE2" w:rsidP="00C87BE2">
            <w:pPr>
              <w:ind w:right="-306"/>
              <w:rPr>
                <w:spacing w:val="-6"/>
                <w:sz w:val="22"/>
                <w:szCs w:val="22"/>
                <w:lang w:val="uk-UA"/>
              </w:rPr>
            </w:pPr>
            <w:r w:rsidRPr="00C87BE2">
              <w:rPr>
                <w:b/>
                <w:bCs/>
                <w:sz w:val="22"/>
                <w:szCs w:val="22"/>
                <w:lang w:val="uk-UA"/>
              </w:rPr>
              <w:t>6</w:t>
            </w:r>
          </w:p>
        </w:tc>
        <w:tc>
          <w:tcPr>
            <w:tcW w:w="7266" w:type="dxa"/>
            <w:shd w:val="clear" w:color="auto" w:fill="auto"/>
            <w:vAlign w:val="center"/>
          </w:tcPr>
          <w:p w14:paraId="24B60C56" w14:textId="23174FF9" w:rsidR="00C87BE2" w:rsidRPr="00EE79A6" w:rsidRDefault="00C87BE2" w:rsidP="00C87BE2">
            <w:pPr>
              <w:jc w:val="both"/>
              <w:rPr>
                <w:sz w:val="22"/>
                <w:szCs w:val="22"/>
                <w:lang w:val="uk-UA"/>
              </w:rPr>
            </w:pPr>
            <w:r w:rsidRPr="00EE79A6">
              <w:rPr>
                <w:sz w:val="22"/>
                <w:szCs w:val="22"/>
                <w:lang w:val="uk-UA"/>
              </w:rPr>
              <w:t xml:space="preserve">Аудит першої консолідованої фінансової звітності ТЧХУ, складеної у відповідності до МСФЗ за  рік, що закінчиться 31 грудня 2026 року </w:t>
            </w:r>
            <w:r w:rsidRPr="004344A3">
              <w:rPr>
                <w:sz w:val="22"/>
                <w:szCs w:val="22"/>
                <w:lang w:val="uk-UA"/>
              </w:rPr>
              <w:t>(на підставі таксономії фінансової звітності за міжнародними стандартами).</w:t>
            </w:r>
          </w:p>
        </w:tc>
        <w:tc>
          <w:tcPr>
            <w:tcW w:w="1134" w:type="dxa"/>
            <w:shd w:val="clear" w:color="auto" w:fill="auto"/>
            <w:vAlign w:val="center"/>
          </w:tcPr>
          <w:p w14:paraId="770404C6" w14:textId="5F645AE4" w:rsidR="00C87BE2" w:rsidRPr="00A3721F" w:rsidRDefault="0001609C" w:rsidP="00C87BE2">
            <w:pPr>
              <w:ind w:right="-5" w:hanging="104"/>
              <w:jc w:val="center"/>
              <w:rPr>
                <w:bCs/>
                <w:spacing w:val="-6"/>
                <w:sz w:val="22"/>
                <w:szCs w:val="22"/>
                <w:lang w:val="uk-UA"/>
              </w:rPr>
            </w:pPr>
            <w:r>
              <w:rPr>
                <w:bCs/>
                <w:spacing w:val="-6"/>
                <w:sz w:val="22"/>
                <w:szCs w:val="22"/>
                <w:lang w:val="uk-UA"/>
              </w:rPr>
              <w:t>1 послуга</w:t>
            </w:r>
          </w:p>
        </w:tc>
        <w:tc>
          <w:tcPr>
            <w:tcW w:w="1388" w:type="dxa"/>
            <w:vMerge/>
            <w:shd w:val="clear" w:color="auto" w:fill="auto"/>
            <w:vAlign w:val="center"/>
          </w:tcPr>
          <w:p w14:paraId="70380F58" w14:textId="77777777" w:rsidR="00C87BE2" w:rsidRPr="00A3721F" w:rsidRDefault="00C87BE2" w:rsidP="00C87BE2">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163DC848"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2B0ADC">
        <w:rPr>
          <w:i/>
          <w:iCs/>
          <w:color w:val="000000"/>
          <w:sz w:val="20"/>
          <w:szCs w:val="20"/>
          <w:lang w:val="uk-UA" w:eastAsia="uk-UA"/>
        </w:rPr>
        <w:t>Закупівля</w:t>
      </w:r>
      <w:r w:rsidR="00133B02">
        <w:rPr>
          <w:i/>
          <w:iCs/>
          <w:color w:val="000000"/>
          <w:sz w:val="20"/>
          <w:szCs w:val="20"/>
          <w:lang w:val="uk-UA" w:eastAsia="uk-UA"/>
        </w:rPr>
        <w:t xml:space="preserve"> відбувається одним лотом</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5254BD19" w:rsidR="005A5F8A" w:rsidRPr="001A296E" w:rsidRDefault="00133B02" w:rsidP="005A5F8A">
      <w:pPr>
        <w:spacing w:before="76" w:line="250" w:lineRule="exact"/>
        <w:ind w:right="-23" w:firstLine="567"/>
        <w:jc w:val="both"/>
        <w:rPr>
          <w:b/>
          <w:sz w:val="22"/>
          <w:szCs w:val="22"/>
          <w:lang w:val="uk-UA"/>
        </w:rPr>
      </w:pPr>
      <w:r>
        <w:rPr>
          <w:b/>
          <w:sz w:val="22"/>
          <w:szCs w:val="22"/>
          <w:lang w:val="uk-UA"/>
        </w:rPr>
        <w:t xml:space="preserve">Термін </w:t>
      </w:r>
      <w:r w:rsidR="005A5F8A" w:rsidRPr="005A5F8A">
        <w:rPr>
          <w:b/>
          <w:sz w:val="22"/>
          <w:szCs w:val="22"/>
          <w:lang w:val="uk-UA"/>
        </w:rPr>
        <w:t xml:space="preserve">надання послуг: </w:t>
      </w:r>
      <w:r w:rsidR="005B147F" w:rsidRPr="00532638">
        <w:rPr>
          <w:bCs/>
          <w:sz w:val="22"/>
          <w:szCs w:val="22"/>
          <w:lang w:val="uk-UA"/>
        </w:rPr>
        <w:t>протягом 2025-2027 р., згідно заявок Замовника.</w:t>
      </w:r>
    </w:p>
    <w:p w14:paraId="2189EAC6" w14:textId="1BCF7B7C"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w:t>
      </w:r>
      <w:r w:rsidR="005B147F">
        <w:rPr>
          <w:b/>
          <w:sz w:val="22"/>
          <w:szCs w:val="22"/>
          <w:lang w:val="uk-UA"/>
        </w:rPr>
        <w:t xml:space="preserve">знаходження </w:t>
      </w:r>
      <w:r w:rsidR="0065714E">
        <w:rPr>
          <w:b/>
          <w:sz w:val="22"/>
          <w:szCs w:val="22"/>
          <w:lang w:val="uk-UA"/>
        </w:rPr>
        <w:t>Замовника</w:t>
      </w:r>
      <w:r w:rsidRPr="005A5F8A">
        <w:rPr>
          <w:b/>
          <w:sz w:val="22"/>
          <w:szCs w:val="22"/>
          <w:lang w:val="uk-UA"/>
        </w:rPr>
        <w:t>:</w:t>
      </w:r>
      <w:r w:rsidR="00937CCC">
        <w:rPr>
          <w:b/>
          <w:sz w:val="22"/>
          <w:szCs w:val="22"/>
          <w:lang w:val="uk-UA"/>
        </w:rPr>
        <w:t xml:space="preserve"> </w:t>
      </w:r>
      <w:r w:rsidR="008C783A">
        <w:t xml:space="preserve">м. Київ, </w:t>
      </w:r>
      <w:proofErr w:type="spellStart"/>
      <w:r w:rsidR="008C783A">
        <w:t>вул</w:t>
      </w:r>
      <w:proofErr w:type="spellEnd"/>
      <w:r w:rsidR="008C783A">
        <w:t xml:space="preserve">. </w:t>
      </w:r>
      <w:proofErr w:type="spellStart"/>
      <w:r w:rsidR="008C783A">
        <w:t>Ділова</w:t>
      </w:r>
      <w:proofErr w:type="spellEnd"/>
      <w:r w:rsidR="008C783A">
        <w:t xml:space="preserve"> 3</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012"/>
        <w:gridCol w:w="4494"/>
      </w:tblGrid>
      <w:tr w:rsidR="00BC13F3" w:rsidRPr="005A36D1" w14:paraId="17D899A6" w14:textId="77777777" w:rsidTr="00620844">
        <w:trPr>
          <w:trHeight w:val="76"/>
        </w:trPr>
        <w:tc>
          <w:tcPr>
            <w:tcW w:w="656" w:type="dxa"/>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12" w:type="dxa"/>
            <w:shd w:val="clear" w:color="auto" w:fill="auto"/>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4" w:type="dxa"/>
            <w:shd w:val="clear" w:color="auto" w:fill="auto"/>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20844">
        <w:trPr>
          <w:trHeight w:val="1798"/>
        </w:trPr>
        <w:tc>
          <w:tcPr>
            <w:tcW w:w="656" w:type="dxa"/>
          </w:tcPr>
          <w:p w14:paraId="29032B01" w14:textId="2BCCDD89"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6B8B32D2" w14:textId="469DA657" w:rsidR="00BC13F3" w:rsidRPr="000B48D8" w:rsidRDefault="00BC13F3" w:rsidP="000A7594">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494" w:type="dxa"/>
            <w:shd w:val="clear" w:color="auto" w:fill="auto"/>
          </w:tcPr>
          <w:p w14:paraId="562980FF" w14:textId="77777777" w:rsidR="00BC13F3" w:rsidRPr="000B48D8"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541B5D">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w:t>
            </w:r>
            <w:r w:rsidRPr="00541B5D">
              <w:rPr>
                <w:rFonts w:ascii="Times New Roman" w:hAnsi="Times New Roman" w:cs="Times New Roman"/>
                <w:b/>
                <w:bCs/>
                <w:sz w:val="22"/>
                <w:szCs w:val="22"/>
                <w:lang w:val="uk-UA"/>
              </w:rPr>
              <w:t>або 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541B5D">
              <w:rPr>
                <w:rFonts w:ascii="Times New Roman" w:hAnsi="Times New Roman" w:cs="Times New Roman"/>
                <w:b/>
                <w:bCs/>
                <w:sz w:val="22"/>
                <w:szCs w:val="22"/>
                <w:lang w:val="uk-UA"/>
              </w:rPr>
              <w:t>Витяг з Єдиного державного</w:t>
            </w:r>
            <w:r w:rsidRPr="000B48D8">
              <w:rPr>
                <w:rFonts w:ascii="Times New Roman" w:hAnsi="Times New Roman" w:cs="Times New Roman"/>
                <w:sz w:val="22"/>
                <w:szCs w:val="22"/>
                <w:lang w:val="uk-UA"/>
              </w:rPr>
              <w:t xml:space="preserve"> реєстру юридичних осіб та фізичних осіб-підприємців, в якому зазначаються основні види діяльності.</w:t>
            </w:r>
          </w:p>
          <w:p w14:paraId="4652BFD2" w14:textId="77777777" w:rsidR="00BC13F3"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C52E14">
              <w:rPr>
                <w:rFonts w:ascii="Times New Roman" w:hAnsi="Times New Roman" w:cs="Times New Roman"/>
                <w:b/>
                <w:bCs/>
                <w:sz w:val="22"/>
                <w:szCs w:val="22"/>
                <w:lang w:val="uk-UA"/>
              </w:rPr>
              <w:t>Копії</w:t>
            </w:r>
            <w:r w:rsidRPr="000B48D8">
              <w:rPr>
                <w:rFonts w:ascii="Times New Roman" w:hAnsi="Times New Roman" w:cs="Times New Roman"/>
                <w:sz w:val="22"/>
                <w:szCs w:val="22"/>
                <w:lang w:val="uk-UA"/>
              </w:rPr>
              <w:t xml:space="preserve"> </w:t>
            </w:r>
            <w:r w:rsidRPr="00C52E14">
              <w:rPr>
                <w:rFonts w:ascii="Times New Roman" w:hAnsi="Times New Roman" w:cs="Times New Roman"/>
                <w:b/>
                <w:bCs/>
                <w:sz w:val="22"/>
                <w:szCs w:val="22"/>
                <w:lang w:val="uk-UA"/>
              </w:rPr>
              <w:t>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p w14:paraId="1146A742" w14:textId="614D4970" w:rsidR="00C52E14" w:rsidRPr="00BE163D" w:rsidRDefault="00BE163D" w:rsidP="00226DB7">
            <w:pPr>
              <w:pStyle w:val="ab"/>
              <w:numPr>
                <w:ilvl w:val="0"/>
                <w:numId w:val="3"/>
              </w:numPr>
              <w:spacing w:before="0" w:beforeAutospacing="0" w:after="0" w:afterAutospacing="0"/>
              <w:ind w:left="0" w:firstLine="357"/>
              <w:jc w:val="both"/>
              <w:rPr>
                <w:rFonts w:ascii="Times New Roman" w:hAnsi="Times New Roman" w:cs="Times New Roman"/>
                <w:b/>
                <w:bCs/>
                <w:sz w:val="22"/>
                <w:szCs w:val="22"/>
                <w:lang w:val="uk-UA"/>
              </w:rPr>
            </w:pPr>
            <w:r w:rsidRPr="00BE163D">
              <w:rPr>
                <w:rFonts w:ascii="Times New Roman" w:hAnsi="Times New Roman" w:cs="Times New Roman"/>
                <w:b/>
                <w:bCs/>
                <w:sz w:val="22"/>
                <w:szCs w:val="22"/>
                <w:lang w:val="uk-UA"/>
              </w:rPr>
              <w:t>Свідоцтво про включення фірми в Реєстр</w:t>
            </w:r>
            <w:r w:rsidRPr="00BE163D">
              <w:rPr>
                <w:rFonts w:ascii="Times New Roman" w:hAnsi="Times New Roman" w:cs="Times New Roman"/>
                <w:b/>
                <w:bCs/>
                <w:spacing w:val="-53"/>
                <w:sz w:val="22"/>
                <w:szCs w:val="22"/>
                <w:lang w:val="uk-UA"/>
              </w:rPr>
              <w:t xml:space="preserve"> </w:t>
            </w:r>
            <w:r w:rsidRPr="00BE163D">
              <w:rPr>
                <w:rFonts w:ascii="Times New Roman" w:hAnsi="Times New Roman" w:cs="Times New Roman"/>
                <w:b/>
                <w:bCs/>
                <w:sz w:val="22"/>
                <w:szCs w:val="22"/>
                <w:lang w:val="uk-UA"/>
              </w:rPr>
              <w:t>аудиторських</w:t>
            </w:r>
            <w:r w:rsidRPr="00BE163D">
              <w:rPr>
                <w:rFonts w:ascii="Times New Roman" w:hAnsi="Times New Roman" w:cs="Times New Roman"/>
                <w:b/>
                <w:bCs/>
                <w:spacing w:val="-3"/>
                <w:sz w:val="22"/>
                <w:szCs w:val="22"/>
                <w:lang w:val="uk-UA"/>
              </w:rPr>
              <w:t xml:space="preserve"> </w:t>
            </w:r>
            <w:r w:rsidRPr="00BE163D">
              <w:rPr>
                <w:rFonts w:ascii="Times New Roman" w:hAnsi="Times New Roman" w:cs="Times New Roman"/>
                <w:b/>
                <w:bCs/>
                <w:sz w:val="22"/>
                <w:szCs w:val="22"/>
                <w:lang w:val="uk-UA"/>
              </w:rPr>
              <w:t>фірм</w:t>
            </w:r>
            <w:r w:rsidRPr="00BE163D">
              <w:rPr>
                <w:rFonts w:ascii="Times New Roman" w:hAnsi="Times New Roman" w:cs="Times New Roman"/>
                <w:b/>
                <w:bCs/>
                <w:spacing w:val="-3"/>
                <w:sz w:val="22"/>
                <w:szCs w:val="22"/>
                <w:lang w:val="uk-UA"/>
              </w:rPr>
              <w:t xml:space="preserve"> </w:t>
            </w:r>
            <w:r w:rsidRPr="00BE163D">
              <w:rPr>
                <w:rFonts w:ascii="Times New Roman" w:hAnsi="Times New Roman" w:cs="Times New Roman"/>
                <w:b/>
                <w:bCs/>
                <w:sz w:val="22"/>
                <w:szCs w:val="22"/>
                <w:lang w:val="uk-UA"/>
              </w:rPr>
              <w:t>та аудиторів</w:t>
            </w:r>
          </w:p>
        </w:tc>
      </w:tr>
      <w:tr w:rsidR="00BC13F3" w:rsidRPr="000B48D8" w14:paraId="440D73B1" w14:textId="77777777" w:rsidTr="00620844">
        <w:trPr>
          <w:trHeight w:val="263"/>
        </w:trPr>
        <w:tc>
          <w:tcPr>
            <w:tcW w:w="656"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4" w:type="dxa"/>
            <w:shd w:val="clear" w:color="auto" w:fill="auto"/>
          </w:tcPr>
          <w:p w14:paraId="74ED0609" w14:textId="59885ECC" w:rsidR="00BC13F3" w:rsidRPr="000B48D8" w:rsidRDefault="00D85774"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20844">
        <w:trPr>
          <w:trHeight w:val="143"/>
        </w:trPr>
        <w:tc>
          <w:tcPr>
            <w:tcW w:w="656"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494" w:type="dxa"/>
          </w:tcPr>
          <w:p w14:paraId="4A73F0C3" w14:textId="17D77317" w:rsidR="005000CA" w:rsidRPr="00557A29" w:rsidRDefault="005000CA"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20844">
        <w:trPr>
          <w:trHeight w:val="143"/>
        </w:trPr>
        <w:tc>
          <w:tcPr>
            <w:tcW w:w="656"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4B096979" w14:textId="2432AF7F"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4"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20844">
        <w:trPr>
          <w:trHeight w:val="143"/>
        </w:trPr>
        <w:tc>
          <w:tcPr>
            <w:tcW w:w="656"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494"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20844">
        <w:trPr>
          <w:trHeight w:val="143"/>
        </w:trPr>
        <w:tc>
          <w:tcPr>
            <w:tcW w:w="656"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012"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494"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w:t>
            </w:r>
            <w:r w:rsidRPr="00D3601A">
              <w:rPr>
                <w:rFonts w:ascii="Times New Roman" w:hAnsi="Times New Roman" w:cs="Times New Roman"/>
                <w:bCs/>
                <w:color w:val="000000"/>
                <w:sz w:val="22"/>
                <w:szCs w:val="22"/>
                <w:lang w:val="uk-UA"/>
              </w:rPr>
              <w:lastRenderedPageBreak/>
              <w:t xml:space="preserve">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5A36D1" w14:paraId="53E40327" w14:textId="77777777" w:rsidTr="00620844">
        <w:trPr>
          <w:trHeight w:val="143"/>
        </w:trPr>
        <w:tc>
          <w:tcPr>
            <w:tcW w:w="656"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012"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w:t>
            </w:r>
            <w:r w:rsidRPr="00C40BA0">
              <w:rPr>
                <w:rFonts w:ascii="Times New Roman" w:hAnsi="Times New Roman" w:cs="Times New Roman"/>
                <w:sz w:val="22"/>
                <w:szCs w:val="22"/>
                <w:lang w:val="uk-UA"/>
              </w:rPr>
              <w:lastRenderedPageBreak/>
              <w:t>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494"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20844">
        <w:trPr>
          <w:trHeight w:val="143"/>
        </w:trPr>
        <w:tc>
          <w:tcPr>
            <w:tcW w:w="656"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012" w:type="dxa"/>
            <w:shd w:val="clear" w:color="auto" w:fill="auto"/>
          </w:tcPr>
          <w:p w14:paraId="3F71D2DD" w14:textId="29FEBB11"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494"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20844">
        <w:trPr>
          <w:trHeight w:val="143"/>
        </w:trPr>
        <w:tc>
          <w:tcPr>
            <w:tcW w:w="656"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29BC3F61" w14:textId="15605F40"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494"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20844">
        <w:trPr>
          <w:trHeight w:val="143"/>
        </w:trPr>
        <w:tc>
          <w:tcPr>
            <w:tcW w:w="656"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5B87D422" w14:textId="2716F1E4"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494"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20844">
        <w:trPr>
          <w:trHeight w:val="76"/>
        </w:trPr>
        <w:tc>
          <w:tcPr>
            <w:tcW w:w="656"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012"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4" w:type="dxa"/>
            <w:shd w:val="clear" w:color="auto" w:fill="auto"/>
          </w:tcPr>
          <w:p w14:paraId="081249D3" w14:textId="77777777"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20844">
        <w:trPr>
          <w:trHeight w:val="76"/>
        </w:trPr>
        <w:tc>
          <w:tcPr>
            <w:tcW w:w="656"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12" w:type="dxa"/>
            <w:shd w:val="clear" w:color="auto" w:fill="auto"/>
          </w:tcPr>
          <w:p w14:paraId="3B9F7E31" w14:textId="00C6AC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494" w:type="dxa"/>
            <w:shd w:val="clear" w:color="auto" w:fill="auto"/>
          </w:tcPr>
          <w:p w14:paraId="70B8F3F7" w14:textId="60AF3E5D"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w:t>
            </w:r>
            <w:r w:rsidRPr="00A038BD">
              <w:rPr>
                <w:rFonts w:ascii="Times New Roman" w:hAnsi="Times New Roman" w:cs="Times New Roman"/>
                <w:sz w:val="22"/>
                <w:szCs w:val="22"/>
                <w:lang w:val="uk-UA"/>
              </w:rPr>
              <w:t xml:space="preserve">зазначенням обороту компанії за ці роки. </w:t>
            </w:r>
          </w:p>
        </w:tc>
      </w:tr>
      <w:tr w:rsidR="00E629BA" w:rsidRPr="00557A29" w14:paraId="46FD5C71" w14:textId="77777777" w:rsidTr="00620844">
        <w:trPr>
          <w:trHeight w:val="76"/>
        </w:trPr>
        <w:tc>
          <w:tcPr>
            <w:tcW w:w="656" w:type="dxa"/>
            <w:vMerge w:val="restart"/>
          </w:tcPr>
          <w:p w14:paraId="045A4F69" w14:textId="77777777" w:rsidR="00E629BA" w:rsidRPr="00BC13F3" w:rsidRDefault="00E629BA" w:rsidP="00DF326D">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12" w:type="dxa"/>
            <w:shd w:val="clear" w:color="auto" w:fill="auto"/>
          </w:tcPr>
          <w:p w14:paraId="4B022F45" w14:textId="77777777"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Договір повинен бути підписаний між двома</w:t>
            </w:r>
          </w:p>
          <w:p w14:paraId="17A5125D" w14:textId="2DDC4003"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сторонами (ТЧХУ і аудиторська компанія)</w:t>
            </w:r>
          </w:p>
        </w:tc>
        <w:tc>
          <w:tcPr>
            <w:tcW w:w="4494" w:type="dxa"/>
            <w:vMerge w:val="restart"/>
            <w:shd w:val="clear" w:color="auto" w:fill="auto"/>
            <w:vAlign w:val="center"/>
          </w:tcPr>
          <w:p w14:paraId="32BE3B80" w14:textId="3F1FD693" w:rsidR="00E629BA" w:rsidRPr="00B67735" w:rsidRDefault="00E629BA" w:rsidP="00DF326D">
            <w:pPr>
              <w:pStyle w:val="ab"/>
              <w:numPr>
                <w:ilvl w:val="0"/>
                <w:numId w:val="3"/>
              </w:numPr>
              <w:spacing w:before="0" w:after="0"/>
              <w:ind w:left="313"/>
              <w:rPr>
                <w:rFonts w:ascii="Times New Roman" w:hAnsi="Times New Roman" w:cs="Times New Roman"/>
                <w:sz w:val="22"/>
                <w:szCs w:val="22"/>
                <w:lang w:val="uk-UA"/>
              </w:rPr>
            </w:pPr>
            <w:r w:rsidRPr="00BF3E66">
              <w:rPr>
                <w:rFonts w:ascii="Times New Roman" w:hAnsi="Times New Roman" w:cs="Times New Roman"/>
                <w:sz w:val="22"/>
                <w:szCs w:val="22"/>
                <w:lang w:val="uk-UA"/>
              </w:rPr>
              <w:t xml:space="preserve">Лист-гарантія на бланку учасника, щодо виконання технічних вимог </w:t>
            </w:r>
            <w:r w:rsidRPr="00BF3E66">
              <w:rPr>
                <w:rFonts w:ascii="Times New Roman" w:hAnsi="Times New Roman" w:cs="Times New Roman"/>
                <w:i/>
                <w:iCs/>
                <w:sz w:val="22"/>
                <w:szCs w:val="22"/>
                <w:lang w:val="uk-UA"/>
              </w:rPr>
              <w:t>(одним листом)</w:t>
            </w:r>
          </w:p>
        </w:tc>
      </w:tr>
      <w:tr w:rsidR="00E629BA" w:rsidRPr="00557A29" w14:paraId="7BA5A590" w14:textId="77777777" w:rsidTr="00620844">
        <w:trPr>
          <w:trHeight w:val="96"/>
        </w:trPr>
        <w:tc>
          <w:tcPr>
            <w:tcW w:w="656" w:type="dxa"/>
            <w:vMerge/>
          </w:tcPr>
          <w:p w14:paraId="6694A1F9" w14:textId="46FB196B"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012" w:type="dxa"/>
            <w:shd w:val="clear" w:color="auto" w:fill="auto"/>
            <w:vAlign w:val="center"/>
          </w:tcPr>
          <w:p w14:paraId="5C3317AD" w14:textId="41B2A3B7"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Досвід проведення аудитів від 5 років</w:t>
            </w:r>
          </w:p>
        </w:tc>
        <w:tc>
          <w:tcPr>
            <w:tcW w:w="4494" w:type="dxa"/>
            <w:vMerge/>
            <w:shd w:val="clear" w:color="auto" w:fill="auto"/>
            <w:vAlign w:val="center"/>
          </w:tcPr>
          <w:p w14:paraId="7FCD2231" w14:textId="6511EF5A" w:rsidR="00E629BA" w:rsidRPr="009856D2" w:rsidRDefault="00E629BA" w:rsidP="00DF326D">
            <w:pPr>
              <w:pStyle w:val="ab"/>
              <w:numPr>
                <w:ilvl w:val="0"/>
                <w:numId w:val="3"/>
              </w:numPr>
              <w:spacing w:before="0" w:beforeAutospacing="0" w:after="0" w:afterAutospacing="0"/>
              <w:ind w:left="313"/>
              <w:rPr>
                <w:rFonts w:ascii="Times New Roman" w:hAnsi="Times New Roman" w:cs="Times New Roman"/>
                <w:sz w:val="22"/>
                <w:szCs w:val="22"/>
                <w:lang w:val="uk-UA"/>
              </w:rPr>
            </w:pPr>
          </w:p>
        </w:tc>
      </w:tr>
      <w:tr w:rsidR="00E629BA" w:rsidRPr="00557A29" w14:paraId="6B8D450F" w14:textId="77777777" w:rsidTr="00620844">
        <w:trPr>
          <w:trHeight w:val="96"/>
        </w:trPr>
        <w:tc>
          <w:tcPr>
            <w:tcW w:w="656" w:type="dxa"/>
            <w:vMerge/>
          </w:tcPr>
          <w:p w14:paraId="7AFF7B34" w14:textId="77777777" w:rsidR="00E629BA" w:rsidRPr="00BC13F3" w:rsidRDefault="00E629BA" w:rsidP="00DF326D">
            <w:pPr>
              <w:pStyle w:val="ab"/>
              <w:spacing w:before="0" w:beforeAutospacing="0" w:after="0" w:afterAutospacing="0"/>
              <w:ind w:left="360"/>
              <w:rPr>
                <w:rFonts w:ascii="Times New Roman" w:eastAsia="Times New Roman" w:hAnsi="Times New Roman" w:cs="Times New Roman"/>
                <w:b/>
                <w:bCs/>
                <w:sz w:val="22"/>
                <w:szCs w:val="22"/>
                <w:lang w:val="uk-UA"/>
              </w:rPr>
            </w:pPr>
          </w:p>
        </w:tc>
        <w:tc>
          <w:tcPr>
            <w:tcW w:w="5012" w:type="dxa"/>
            <w:shd w:val="clear" w:color="auto" w:fill="auto"/>
            <w:vAlign w:val="center"/>
          </w:tcPr>
          <w:p w14:paraId="36267FF0" w14:textId="08D137CA"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 xml:space="preserve">Аудит має бути проведений у відповідності з вимогами Додатку 2  </w:t>
            </w:r>
          </w:p>
        </w:tc>
        <w:tc>
          <w:tcPr>
            <w:tcW w:w="4494" w:type="dxa"/>
            <w:vMerge/>
            <w:shd w:val="clear" w:color="auto" w:fill="auto"/>
          </w:tcPr>
          <w:p w14:paraId="7E06F260" w14:textId="33357B4D" w:rsidR="00E629BA" w:rsidRPr="00143EA3" w:rsidRDefault="00E629BA" w:rsidP="00DF326D">
            <w:pPr>
              <w:pStyle w:val="ab"/>
              <w:spacing w:before="0" w:beforeAutospacing="0" w:after="0" w:afterAutospacing="0"/>
              <w:ind w:left="313"/>
              <w:rPr>
                <w:rFonts w:ascii="Times New Roman" w:hAnsi="Times New Roman" w:cs="Times New Roman"/>
                <w:sz w:val="22"/>
                <w:szCs w:val="22"/>
                <w:lang w:val="uk-UA"/>
              </w:rPr>
            </w:pPr>
          </w:p>
        </w:tc>
      </w:tr>
      <w:tr w:rsidR="00E629BA" w:rsidRPr="00557A29" w14:paraId="0363DB17" w14:textId="77777777" w:rsidTr="00620844">
        <w:trPr>
          <w:trHeight w:val="96"/>
        </w:trPr>
        <w:tc>
          <w:tcPr>
            <w:tcW w:w="656" w:type="dxa"/>
            <w:vMerge/>
          </w:tcPr>
          <w:p w14:paraId="2DF0BA9F"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012" w:type="dxa"/>
            <w:shd w:val="clear" w:color="auto" w:fill="auto"/>
            <w:vAlign w:val="center"/>
          </w:tcPr>
          <w:p w14:paraId="073426BA" w14:textId="1F7279B6"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Звіти повинні бути двомовними (</w:t>
            </w:r>
            <w:proofErr w:type="spellStart"/>
            <w:r w:rsidRPr="00BF3E66">
              <w:rPr>
                <w:rFonts w:ascii="Times New Roman" w:hAnsi="Times New Roman" w:cs="Times New Roman"/>
                <w:sz w:val="22"/>
                <w:szCs w:val="22"/>
                <w:lang w:val="uk-UA"/>
              </w:rPr>
              <w:t>укр</w:t>
            </w:r>
            <w:proofErr w:type="spellEnd"/>
            <w:r w:rsidRPr="00BF3E66">
              <w:rPr>
                <w:rFonts w:ascii="Times New Roman" w:hAnsi="Times New Roman" w:cs="Times New Roman"/>
                <w:sz w:val="22"/>
                <w:szCs w:val="22"/>
                <w:lang w:val="uk-UA"/>
              </w:rPr>
              <w:t>/</w:t>
            </w:r>
            <w:proofErr w:type="spellStart"/>
            <w:r w:rsidRPr="00BF3E66">
              <w:rPr>
                <w:rFonts w:ascii="Times New Roman" w:hAnsi="Times New Roman" w:cs="Times New Roman"/>
                <w:sz w:val="22"/>
                <w:szCs w:val="22"/>
                <w:lang w:val="uk-UA"/>
              </w:rPr>
              <w:t>англ</w:t>
            </w:r>
            <w:proofErr w:type="spellEnd"/>
            <w:r w:rsidRPr="00BF3E66">
              <w:rPr>
                <w:rFonts w:ascii="Times New Roman" w:hAnsi="Times New Roman" w:cs="Times New Roman"/>
                <w:sz w:val="22"/>
                <w:szCs w:val="22"/>
                <w:lang w:val="uk-UA"/>
              </w:rPr>
              <w:t>)</w:t>
            </w:r>
          </w:p>
        </w:tc>
        <w:tc>
          <w:tcPr>
            <w:tcW w:w="4494" w:type="dxa"/>
            <w:vMerge/>
            <w:shd w:val="clear" w:color="auto" w:fill="auto"/>
          </w:tcPr>
          <w:p w14:paraId="76BE738D"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r w:rsidR="00E629BA" w:rsidRPr="00557A29" w14:paraId="660BD014" w14:textId="77777777" w:rsidTr="00620844">
        <w:trPr>
          <w:trHeight w:val="96"/>
        </w:trPr>
        <w:tc>
          <w:tcPr>
            <w:tcW w:w="656" w:type="dxa"/>
            <w:vMerge/>
          </w:tcPr>
          <w:p w14:paraId="2162702B"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012" w:type="dxa"/>
            <w:shd w:val="clear" w:color="auto" w:fill="auto"/>
          </w:tcPr>
          <w:p w14:paraId="5875F22B" w14:textId="686917C2"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Сума договору на період надання послуг повинна бути фіксована</w:t>
            </w:r>
          </w:p>
        </w:tc>
        <w:tc>
          <w:tcPr>
            <w:tcW w:w="4494" w:type="dxa"/>
            <w:vMerge/>
            <w:shd w:val="clear" w:color="auto" w:fill="auto"/>
          </w:tcPr>
          <w:p w14:paraId="3FD83F93"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r w:rsidR="00E629BA" w:rsidRPr="00557A29" w14:paraId="452846AE" w14:textId="77777777" w:rsidTr="00620844">
        <w:trPr>
          <w:trHeight w:val="886"/>
        </w:trPr>
        <w:tc>
          <w:tcPr>
            <w:tcW w:w="656" w:type="dxa"/>
            <w:vMerge w:val="restart"/>
          </w:tcPr>
          <w:p w14:paraId="21D9E7C3" w14:textId="1C3D4713" w:rsidR="00E629BA" w:rsidRPr="00BC13F3" w:rsidRDefault="00E629BA" w:rsidP="00E629BA">
            <w:pPr>
              <w:pStyle w:val="ab"/>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2.10.</w:t>
            </w:r>
          </w:p>
        </w:tc>
        <w:tc>
          <w:tcPr>
            <w:tcW w:w="5012" w:type="dxa"/>
            <w:shd w:val="clear" w:color="auto" w:fill="auto"/>
            <w:vAlign w:val="center"/>
          </w:tcPr>
          <w:p w14:paraId="43AB5CE3" w14:textId="2873F345" w:rsidR="00E629BA" w:rsidRPr="00620844" w:rsidRDefault="00E629BA" w:rsidP="00E629BA">
            <w:pPr>
              <w:pStyle w:val="ab"/>
              <w:spacing w:before="0" w:beforeAutospacing="0" w:after="0" w:afterAutospacing="0"/>
              <w:ind w:left="-50" w:firstLine="50"/>
              <w:rPr>
                <w:rFonts w:ascii="Times New Roman" w:eastAsia="Times New Roman" w:hAnsi="Times New Roman" w:cs="Times New Roman"/>
                <w:b/>
                <w:bCs/>
                <w:spacing w:val="-4"/>
                <w:sz w:val="22"/>
                <w:szCs w:val="22"/>
                <w:u w:val="single"/>
                <w:lang w:val="uk-UA"/>
              </w:rPr>
            </w:pPr>
            <w:r w:rsidRPr="00620844">
              <w:rPr>
                <w:rFonts w:ascii="Times New Roman" w:eastAsia="Times New Roman" w:hAnsi="Times New Roman" w:cs="Times New Roman"/>
                <w:b/>
                <w:bCs/>
                <w:spacing w:val="-4"/>
                <w:sz w:val="22"/>
                <w:szCs w:val="22"/>
                <w:u w:val="single"/>
                <w:lang w:val="uk-UA"/>
              </w:rPr>
              <w:t xml:space="preserve">Ділова репутація: </w:t>
            </w:r>
          </w:p>
          <w:p w14:paraId="3F9CE4E1" w14:textId="6EF9051E" w:rsidR="00E629BA" w:rsidRPr="00620844" w:rsidRDefault="00E629BA" w:rsidP="00E629BA">
            <w:pPr>
              <w:pStyle w:val="ab"/>
              <w:numPr>
                <w:ilvl w:val="0"/>
                <w:numId w:val="3"/>
              </w:numPr>
              <w:spacing w:before="0" w:beforeAutospacing="0" w:after="0" w:afterAutospacing="0"/>
              <w:ind w:left="-50" w:firstLine="50"/>
              <w:rPr>
                <w:rFonts w:ascii="Times New Roman" w:eastAsia="Times New Roman" w:hAnsi="Times New Roman" w:cs="Times New Roman"/>
                <w:spacing w:val="-4"/>
                <w:sz w:val="22"/>
                <w:szCs w:val="22"/>
                <w:lang w:val="uk-UA"/>
              </w:rPr>
            </w:pPr>
            <w:r w:rsidRPr="00620844">
              <w:rPr>
                <w:rFonts w:ascii="Times New Roman" w:eastAsia="Times New Roman" w:hAnsi="Times New Roman" w:cs="Times New Roman"/>
                <w:sz w:val="22"/>
                <w:szCs w:val="22"/>
                <w:lang w:val="uk-UA"/>
              </w:rPr>
              <w:t>Компанія Учасника є на сайті ОСНАД в розділі</w:t>
            </w:r>
            <w:r w:rsidRPr="00620844">
              <w:rPr>
                <w:rFonts w:ascii="Calibri Light" w:eastAsia="Calibri Light" w:hAnsi="Calibri Light" w:cs="Calibri Light"/>
                <w:color w:val="000000" w:themeColor="text1"/>
                <w:sz w:val="22"/>
                <w:szCs w:val="22"/>
                <w:lang w:val="uk-UA"/>
              </w:rPr>
              <w:t xml:space="preserve"> "</w:t>
            </w:r>
            <w:hyperlink r:id="rId11">
              <w:r w:rsidRPr="00620844">
                <w:rPr>
                  <w:rStyle w:val="ac"/>
                  <w:sz w:val="20"/>
                  <w:szCs w:val="20"/>
                  <w:lang w:val="uk-UA"/>
                </w:rPr>
                <w:t>Реєстр</w:t>
              </w:r>
            </w:hyperlink>
            <w:r w:rsidRPr="00620844">
              <w:rPr>
                <w:rFonts w:ascii="Calibri Light" w:eastAsia="Calibri Light" w:hAnsi="Calibri Light" w:cs="Calibri Light"/>
                <w:color w:val="000000" w:themeColor="text1"/>
                <w:sz w:val="22"/>
                <w:szCs w:val="22"/>
                <w:lang w:val="uk-UA"/>
              </w:rPr>
              <w:t xml:space="preserve"> </w:t>
            </w:r>
            <w:r w:rsidRPr="00620844">
              <w:rPr>
                <w:rFonts w:ascii="Times New Roman" w:eastAsia="Times New Roman" w:hAnsi="Times New Roman" w:cs="Times New Roman"/>
                <w:sz w:val="22"/>
                <w:szCs w:val="22"/>
                <w:lang w:val="uk-UA"/>
              </w:rPr>
              <w:t>аудиторів та суб’єктів аудиторської діяльності</w:t>
            </w:r>
          </w:p>
        </w:tc>
        <w:tc>
          <w:tcPr>
            <w:tcW w:w="4494" w:type="dxa"/>
            <w:vMerge w:val="restart"/>
            <w:shd w:val="clear" w:color="auto" w:fill="auto"/>
            <w:vAlign w:val="center"/>
          </w:tcPr>
          <w:p w14:paraId="010558B2" w14:textId="60681A45" w:rsidR="00E629BA" w:rsidRPr="00620844" w:rsidRDefault="00E629BA" w:rsidP="00620844">
            <w:pPr>
              <w:pStyle w:val="ab"/>
              <w:numPr>
                <w:ilvl w:val="0"/>
                <w:numId w:val="3"/>
              </w:numPr>
              <w:spacing w:before="0" w:beforeAutospacing="0" w:after="0" w:afterAutospacing="0" w:line="259" w:lineRule="auto"/>
              <w:ind w:left="173" w:firstLine="187"/>
              <w:rPr>
                <w:rFonts w:ascii="Times New Roman" w:hAnsi="Times New Roman" w:cs="Times New Roman"/>
                <w:bCs/>
                <w:color w:val="747474"/>
                <w:sz w:val="22"/>
                <w:szCs w:val="22"/>
                <w:lang w:val="uk-UA"/>
              </w:rPr>
            </w:pPr>
            <w:r w:rsidRPr="00620844">
              <w:rPr>
                <w:rFonts w:ascii="Times New Roman" w:hAnsi="Times New Roman" w:cs="Times New Roman"/>
                <w:sz w:val="22"/>
                <w:szCs w:val="22"/>
                <w:lang w:val="uk-UA"/>
              </w:rPr>
              <w:t>Лист-гарантія на бланку учасника, сертифікати, посилання на сайти та веб-ресурси або інші документи, які можуть підтвердити належність компанії до вказаних рейтингів чи форумів</w:t>
            </w:r>
          </w:p>
        </w:tc>
      </w:tr>
      <w:tr w:rsidR="00E629BA" w:rsidRPr="005A36D1" w14:paraId="39277060" w14:textId="77777777" w:rsidTr="00620844">
        <w:trPr>
          <w:trHeight w:val="96"/>
        </w:trPr>
        <w:tc>
          <w:tcPr>
            <w:tcW w:w="656" w:type="dxa"/>
            <w:vMerge/>
          </w:tcPr>
          <w:p w14:paraId="0113EE5F" w14:textId="77777777" w:rsidR="00E629BA" w:rsidRPr="00BC13F3" w:rsidRDefault="00E629BA" w:rsidP="009C2F7F">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012" w:type="dxa"/>
            <w:shd w:val="clear" w:color="auto" w:fill="auto"/>
            <w:vAlign w:val="center"/>
          </w:tcPr>
          <w:p w14:paraId="74AC6EAD" w14:textId="70410472" w:rsidR="00E629BA" w:rsidRPr="00BF3E66" w:rsidRDefault="00E629BA" w:rsidP="00E629BA">
            <w:pPr>
              <w:pStyle w:val="ab"/>
              <w:numPr>
                <w:ilvl w:val="0"/>
                <w:numId w:val="3"/>
              </w:numPr>
              <w:spacing w:before="0" w:beforeAutospacing="0" w:after="0" w:afterAutospacing="0"/>
              <w:ind w:left="-50" w:firstLine="50"/>
              <w:rPr>
                <w:rFonts w:ascii="Times New Roman" w:hAnsi="Times New Roman" w:cs="Times New Roman"/>
                <w:sz w:val="22"/>
                <w:szCs w:val="22"/>
                <w:lang w:val="uk-UA"/>
              </w:rPr>
            </w:pPr>
            <w:r w:rsidRPr="00720A7E">
              <w:rPr>
                <w:rFonts w:ascii="Times New Roman" w:eastAsia="Times New Roman" w:hAnsi="Times New Roman" w:cs="Times New Roman"/>
                <w:sz w:val="22"/>
                <w:szCs w:val="22"/>
                <w:lang w:val="uk-UA"/>
              </w:rPr>
              <w:t xml:space="preserve">Мережа, до якої належить аудиторська фірма, включена до </w:t>
            </w:r>
            <w:r w:rsidRPr="00720A7E">
              <w:rPr>
                <w:rFonts w:ascii="Times New Roman" w:eastAsia="Times New Roman" w:hAnsi="Times New Roman" w:cs="Times New Roman"/>
                <w:sz w:val="22"/>
                <w:szCs w:val="22"/>
                <w:lang w:val="en-US"/>
              </w:rPr>
              <w:t>Top</w:t>
            </w:r>
            <w:r w:rsidRPr="005A36D1">
              <w:rPr>
                <w:rFonts w:ascii="Times New Roman" w:eastAsia="Times New Roman" w:hAnsi="Times New Roman" w:cs="Times New Roman"/>
                <w:sz w:val="22"/>
                <w:szCs w:val="22"/>
                <w:lang w:val="uk-UA"/>
              </w:rPr>
              <w:t xml:space="preserve"> 25 </w:t>
            </w:r>
            <w:hyperlink r:id="rId12">
              <w:r w:rsidRPr="00720A7E">
                <w:rPr>
                  <w:rStyle w:val="ac"/>
                  <w:rFonts w:ascii="Times New Roman" w:eastAsia="Times New Roman" w:hAnsi="Times New Roman"/>
                  <w:sz w:val="22"/>
                  <w:szCs w:val="22"/>
                  <w:lang w:val="en-US"/>
                </w:rPr>
                <w:t>International</w:t>
              </w:r>
            </w:hyperlink>
            <w:r w:rsidRPr="005A36D1">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Networks</w:t>
            </w:r>
            <w:r w:rsidRPr="00720A7E">
              <w:rPr>
                <w:rFonts w:ascii="Times New Roman" w:eastAsia="Times New Roman" w:hAnsi="Times New Roman" w:cs="Times New Roman"/>
                <w:sz w:val="22"/>
                <w:szCs w:val="22"/>
                <w:lang w:val="uk-UA"/>
              </w:rPr>
              <w:t xml:space="preserve"> </w:t>
            </w:r>
          </w:p>
        </w:tc>
        <w:tc>
          <w:tcPr>
            <w:tcW w:w="4494" w:type="dxa"/>
            <w:vMerge/>
            <w:shd w:val="clear" w:color="auto" w:fill="auto"/>
            <w:vAlign w:val="center"/>
          </w:tcPr>
          <w:p w14:paraId="161EDD96" w14:textId="10B6F778" w:rsidR="00E629BA" w:rsidRPr="006A70C8" w:rsidRDefault="00E629BA" w:rsidP="009C2F7F">
            <w:pPr>
              <w:pStyle w:val="ab"/>
              <w:spacing w:before="0" w:beforeAutospacing="0" w:after="0" w:afterAutospacing="0" w:line="259" w:lineRule="auto"/>
              <w:rPr>
                <w:rFonts w:ascii="Times New Roman" w:eastAsia="Times New Roman" w:hAnsi="Times New Roman" w:cs="Times New Roman"/>
                <w:b/>
                <w:bCs/>
                <w:sz w:val="22"/>
                <w:szCs w:val="22"/>
                <w:u w:val="single"/>
                <w:lang w:val="uk-UA"/>
              </w:rPr>
            </w:pPr>
          </w:p>
        </w:tc>
      </w:tr>
      <w:tr w:rsidR="00E629BA" w:rsidRPr="005A36D1" w14:paraId="434C1DF6" w14:textId="77777777" w:rsidTr="00620844">
        <w:trPr>
          <w:trHeight w:val="96"/>
        </w:trPr>
        <w:tc>
          <w:tcPr>
            <w:tcW w:w="656" w:type="dxa"/>
            <w:vMerge/>
          </w:tcPr>
          <w:p w14:paraId="27EC0463" w14:textId="77777777" w:rsidR="00E629BA" w:rsidRPr="00BC13F3" w:rsidRDefault="00E629BA" w:rsidP="009C2F7F">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012" w:type="dxa"/>
            <w:shd w:val="clear" w:color="auto" w:fill="auto"/>
            <w:vAlign w:val="center"/>
          </w:tcPr>
          <w:p w14:paraId="24710828" w14:textId="6BCA457D" w:rsidR="00E629BA" w:rsidRPr="00BF3E66" w:rsidRDefault="00E629BA" w:rsidP="00620844">
            <w:pPr>
              <w:pStyle w:val="ab"/>
              <w:numPr>
                <w:ilvl w:val="0"/>
                <w:numId w:val="3"/>
              </w:numPr>
              <w:spacing w:before="0" w:beforeAutospacing="0" w:after="0" w:afterAutospacing="0" w:line="259" w:lineRule="auto"/>
              <w:ind w:left="-50" w:firstLine="50"/>
              <w:rPr>
                <w:rFonts w:ascii="Times New Roman" w:hAnsi="Times New Roman" w:cs="Times New Roman"/>
                <w:sz w:val="22"/>
                <w:szCs w:val="22"/>
                <w:lang w:val="uk-UA"/>
              </w:rPr>
            </w:pPr>
            <w:r w:rsidRPr="00720A7E">
              <w:rPr>
                <w:rFonts w:ascii="Times New Roman" w:eastAsia="Times New Roman" w:hAnsi="Times New Roman" w:cs="Times New Roman"/>
                <w:sz w:val="22"/>
                <w:szCs w:val="22"/>
                <w:lang w:val="uk-UA"/>
              </w:rPr>
              <w:t>Мережа, до якої належить аудиторська фірма, включена до Форуму фірм Міжнародної федерація бухгалтерів (</w:t>
            </w:r>
            <w:r w:rsidRPr="00720A7E">
              <w:rPr>
                <w:rFonts w:ascii="Times New Roman" w:eastAsia="Times New Roman" w:hAnsi="Times New Roman" w:cs="Times New Roman"/>
                <w:sz w:val="22"/>
                <w:szCs w:val="22"/>
                <w:lang w:val="en-US"/>
              </w:rPr>
              <w:t>Forum</w:t>
            </w:r>
            <w:r w:rsidRPr="005A36D1">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of</w:t>
            </w:r>
            <w:r w:rsidRPr="005A36D1">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Firms</w:t>
            </w:r>
            <w:r w:rsidRPr="005A36D1">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of</w:t>
            </w:r>
            <w:r w:rsidRPr="00720A7E">
              <w:rPr>
                <w:rFonts w:ascii="Times New Roman" w:eastAsia="Times New Roman" w:hAnsi="Times New Roman" w:cs="Times New Roman"/>
                <w:sz w:val="22"/>
                <w:szCs w:val="22"/>
                <w:lang w:val="uk-UA"/>
              </w:rPr>
              <w:t xml:space="preserve"> </w:t>
            </w:r>
            <w:hyperlink r:id="rId13">
              <w:r w:rsidRPr="00720A7E">
                <w:rPr>
                  <w:rFonts w:ascii="Times New Roman" w:eastAsia="Times New Roman" w:hAnsi="Times New Roman" w:cs="Times New Roman"/>
                  <w:color w:val="0563C1"/>
                  <w:sz w:val="22"/>
                  <w:szCs w:val="22"/>
                  <w:u w:val="single"/>
                  <w:lang w:val="en-US"/>
                </w:rPr>
                <w:t>International</w:t>
              </w:r>
            </w:hyperlink>
            <w:r w:rsidR="00620844">
              <w:rPr>
                <w:rFonts w:ascii="Times New Roman" w:eastAsia="Times New Roman" w:hAnsi="Times New Roman" w:cs="Times New Roman"/>
                <w:color w:val="0563C1"/>
                <w:sz w:val="22"/>
                <w:szCs w:val="22"/>
                <w:u w:val="single"/>
                <w:lang w:val="uk-UA"/>
              </w:rPr>
              <w:t xml:space="preserve"> </w:t>
            </w:r>
            <w:r w:rsidRPr="00720A7E">
              <w:rPr>
                <w:rFonts w:ascii="Times New Roman" w:eastAsia="Times New Roman" w:hAnsi="Times New Roman" w:cs="Times New Roman"/>
                <w:sz w:val="22"/>
                <w:szCs w:val="22"/>
                <w:lang w:val="en-US"/>
              </w:rPr>
              <w:t>Federation</w:t>
            </w:r>
            <w:r w:rsidRPr="00720A7E">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of</w:t>
            </w:r>
            <w:r w:rsidRPr="00720A7E">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Accountants</w:t>
            </w:r>
            <w:r w:rsidRPr="00720A7E">
              <w:rPr>
                <w:rFonts w:ascii="Times New Roman" w:eastAsia="Times New Roman" w:hAnsi="Times New Roman" w:cs="Times New Roman"/>
                <w:sz w:val="22"/>
                <w:szCs w:val="22"/>
                <w:lang w:val="uk-UA"/>
              </w:rPr>
              <w:t xml:space="preserve"> (</w:t>
            </w:r>
            <w:r w:rsidRPr="00720A7E">
              <w:rPr>
                <w:rFonts w:ascii="Times New Roman" w:eastAsia="Times New Roman" w:hAnsi="Times New Roman" w:cs="Times New Roman"/>
                <w:sz w:val="22"/>
                <w:szCs w:val="22"/>
                <w:lang w:val="en-US"/>
              </w:rPr>
              <w:t>IFAC</w:t>
            </w:r>
            <w:r w:rsidRPr="00720A7E">
              <w:rPr>
                <w:rFonts w:ascii="Times New Roman" w:eastAsia="Times New Roman" w:hAnsi="Times New Roman" w:cs="Times New Roman"/>
                <w:sz w:val="22"/>
                <w:szCs w:val="22"/>
                <w:lang w:val="uk-UA"/>
              </w:rPr>
              <w:t xml:space="preserve">) </w:t>
            </w:r>
          </w:p>
        </w:tc>
        <w:tc>
          <w:tcPr>
            <w:tcW w:w="4494" w:type="dxa"/>
            <w:vMerge/>
            <w:shd w:val="clear" w:color="auto" w:fill="auto"/>
            <w:vAlign w:val="center"/>
          </w:tcPr>
          <w:p w14:paraId="1F52B73B" w14:textId="06274D84" w:rsidR="00E629BA" w:rsidRPr="009856D2" w:rsidRDefault="00E629BA" w:rsidP="009C2F7F">
            <w:pPr>
              <w:pStyle w:val="ab"/>
              <w:spacing w:before="0" w:beforeAutospacing="0" w:after="0" w:afterAutospacing="0" w:line="259" w:lineRule="auto"/>
              <w:rPr>
                <w:rFonts w:ascii="Times New Roman" w:hAnsi="Times New Roman" w:cs="Times New Roman"/>
                <w:bCs/>
                <w:color w:val="747474"/>
                <w:sz w:val="22"/>
                <w:szCs w:val="22"/>
                <w:highlight w:val="yellow"/>
                <w:lang w:val="uk-UA"/>
              </w:rPr>
            </w:pP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w:t>
      </w:r>
      <w:bookmarkStart w:id="1" w:name="_Hlk185515596"/>
      <w:r>
        <w:rPr>
          <w:rFonts w:ascii="Times New Roman" w:hAnsi="Times New Roman" w:cs="Times New Roman"/>
          <w:b/>
          <w:bCs/>
          <w:sz w:val="22"/>
          <w:szCs w:val="22"/>
          <w:lang w:val="uk-UA"/>
        </w:rPr>
        <w:t xml:space="preserve">ІІІ. </w:t>
      </w:r>
      <w:r w:rsidR="00336A40" w:rsidRPr="00557A29">
        <w:rPr>
          <w:rFonts w:ascii="Times New Roman" w:hAnsi="Times New Roman" w:cs="Times New Roman"/>
          <w:b/>
          <w:bCs/>
          <w:sz w:val="22"/>
          <w:szCs w:val="22"/>
          <w:lang w:val="uk-UA"/>
        </w:rPr>
        <w:t>Інша інформація</w:t>
      </w:r>
      <w:bookmarkEnd w:id="1"/>
      <w:r>
        <w:rPr>
          <w:rFonts w:ascii="Times New Roman" w:hAnsi="Times New Roman" w:cs="Times New Roman"/>
          <w:b/>
          <w:bCs/>
          <w:sz w:val="22"/>
          <w:szCs w:val="22"/>
          <w:lang w:val="uk-UA"/>
        </w:rPr>
        <w:t>:</w:t>
      </w:r>
    </w:p>
    <w:p w14:paraId="10210E9A" w14:textId="21E0B92D" w:rsidR="003854D6" w:rsidRPr="00A247C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A247C6">
        <w:rPr>
          <w:rFonts w:eastAsia="Arial Unicode MS"/>
          <w:sz w:val="22"/>
          <w:szCs w:val="22"/>
          <w:lang w:val="uk-UA"/>
        </w:rPr>
        <w:t>Договором про закупівлю</w:t>
      </w:r>
      <w:r w:rsidRPr="00A247C6">
        <w:rPr>
          <w:rFonts w:eastAsia="Arial Unicode MS"/>
          <w:sz w:val="22"/>
          <w:szCs w:val="22"/>
          <w:lang w:val="uk-UA"/>
        </w:rPr>
        <w:t>.</w:t>
      </w:r>
    </w:p>
    <w:p w14:paraId="6D571630" w14:textId="5EA2FDBB" w:rsidR="00C20F20" w:rsidRPr="00A247C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Ціна пропозиції має бути остаточною та не підлягати будь-яким коригуванням.</w:t>
      </w:r>
    </w:p>
    <w:p w14:paraId="6ABB289E" w14:textId="4D65A9AA" w:rsidR="007654D9" w:rsidRPr="004034C4"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 xml:space="preserve">Всі документи, що входять у склад </w:t>
      </w:r>
      <w:r w:rsidR="00D85774" w:rsidRPr="00A247C6">
        <w:rPr>
          <w:rFonts w:eastAsia="Arial Unicode MS"/>
          <w:sz w:val="22"/>
          <w:szCs w:val="22"/>
          <w:lang w:val="uk-UA"/>
        </w:rPr>
        <w:t>цінової</w:t>
      </w:r>
      <w:r w:rsidRPr="00A247C6">
        <w:rPr>
          <w:rFonts w:eastAsia="Arial Unicode MS"/>
          <w:sz w:val="22"/>
          <w:szCs w:val="22"/>
          <w:lang w:val="uk-UA"/>
        </w:rPr>
        <w:t xml:space="preserve"> пропозиції Учасника процедури закупівлі</w:t>
      </w:r>
      <w:r w:rsidRPr="00954E8C">
        <w:rPr>
          <w:rFonts w:eastAsia="Arial Unicode MS"/>
          <w:sz w:val="22"/>
          <w:szCs w:val="22"/>
          <w:lang w:val="uk-UA"/>
        </w:rPr>
        <w:t>,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 xml:space="preserve">У разі надання документів складених мовою іншою ніж українська мова, такі </w:t>
      </w:r>
      <w:r w:rsidR="007654D9" w:rsidRPr="004034C4">
        <w:rPr>
          <w:rFonts w:eastAsia="Arial Unicode MS"/>
          <w:sz w:val="22"/>
          <w:szCs w:val="22"/>
          <w:lang w:val="uk-UA"/>
        </w:rPr>
        <w:t>документи повинні супроводжуватися перекладом українською мовою. Визначальним є текст, викладений українською мовою.</w:t>
      </w:r>
    </w:p>
    <w:p w14:paraId="7E7DE658" w14:textId="036ADD67" w:rsidR="009F2507" w:rsidRPr="004034C4" w:rsidRDefault="000B48D8" w:rsidP="009F2507">
      <w:pPr>
        <w:numPr>
          <w:ilvl w:val="1"/>
          <w:numId w:val="18"/>
        </w:numPr>
        <w:ind w:left="0" w:firstLine="357"/>
        <w:jc w:val="both"/>
        <w:rPr>
          <w:sz w:val="22"/>
          <w:szCs w:val="22"/>
          <w:lang w:val="uk-UA"/>
        </w:rPr>
      </w:pPr>
      <w:r w:rsidRPr="004034C4">
        <w:rPr>
          <w:sz w:val="22"/>
          <w:szCs w:val="22"/>
          <w:lang w:val="uk-UA"/>
        </w:rPr>
        <w:t xml:space="preserve">Оплата здійснюється за системою </w:t>
      </w:r>
      <w:r w:rsidR="00C119B0" w:rsidRPr="004034C4">
        <w:rPr>
          <w:sz w:val="22"/>
          <w:szCs w:val="22"/>
          <w:lang w:val="uk-UA"/>
        </w:rPr>
        <w:t>100% п</w:t>
      </w:r>
      <w:r w:rsidR="001E14CF" w:rsidRPr="004034C4">
        <w:rPr>
          <w:sz w:val="22"/>
          <w:szCs w:val="22"/>
          <w:lang w:val="uk-UA"/>
        </w:rPr>
        <w:t>ісля</w:t>
      </w:r>
      <w:r w:rsidR="00C119B0" w:rsidRPr="004034C4">
        <w:rPr>
          <w:sz w:val="22"/>
          <w:szCs w:val="22"/>
          <w:lang w:val="uk-UA"/>
        </w:rPr>
        <w:t>плати</w:t>
      </w:r>
      <w:r w:rsidRPr="004034C4">
        <w:rPr>
          <w:sz w:val="22"/>
          <w:szCs w:val="22"/>
          <w:lang w:val="uk-UA"/>
        </w:rPr>
        <w:t xml:space="preserve"> протягом </w:t>
      </w:r>
      <w:r w:rsidR="0040132F" w:rsidRPr="004034C4">
        <w:rPr>
          <w:sz w:val="22"/>
          <w:szCs w:val="22"/>
          <w:lang w:val="uk-UA"/>
        </w:rPr>
        <w:t>5</w:t>
      </w:r>
      <w:r w:rsidRPr="004034C4">
        <w:rPr>
          <w:sz w:val="22"/>
          <w:szCs w:val="22"/>
          <w:lang w:val="uk-UA"/>
        </w:rPr>
        <w:t>-</w:t>
      </w:r>
      <w:r w:rsidR="002D7982" w:rsidRPr="004034C4">
        <w:rPr>
          <w:sz w:val="22"/>
          <w:szCs w:val="22"/>
          <w:lang w:val="uk-UA"/>
        </w:rPr>
        <w:t>ти</w:t>
      </w:r>
      <w:r w:rsidRPr="004034C4">
        <w:rPr>
          <w:sz w:val="22"/>
          <w:szCs w:val="22"/>
          <w:lang w:val="uk-UA"/>
        </w:rPr>
        <w:t xml:space="preserve"> </w:t>
      </w:r>
      <w:r w:rsidR="002D7982" w:rsidRPr="004034C4">
        <w:rPr>
          <w:sz w:val="22"/>
          <w:szCs w:val="22"/>
          <w:lang w:val="uk-UA"/>
        </w:rPr>
        <w:t>робочих</w:t>
      </w:r>
      <w:r w:rsidRPr="004034C4">
        <w:rPr>
          <w:sz w:val="22"/>
          <w:szCs w:val="22"/>
          <w:lang w:val="uk-UA"/>
        </w:rPr>
        <w:t xml:space="preserve"> днів по факту завершення надання послуг</w:t>
      </w:r>
      <w:r w:rsidR="009E66A0" w:rsidRPr="004034C4">
        <w:rPr>
          <w:sz w:val="22"/>
          <w:szCs w:val="22"/>
          <w:lang w:val="uk-UA"/>
        </w:rPr>
        <w:t xml:space="preserve"> </w:t>
      </w:r>
      <w:r w:rsidR="00FF361D" w:rsidRPr="004034C4">
        <w:rPr>
          <w:sz w:val="22"/>
          <w:szCs w:val="22"/>
          <w:lang w:val="uk-UA"/>
        </w:rPr>
        <w:t>та підпис</w:t>
      </w:r>
      <w:r w:rsidR="00954E8C" w:rsidRPr="004034C4">
        <w:rPr>
          <w:sz w:val="22"/>
          <w:szCs w:val="22"/>
          <w:lang w:val="uk-UA"/>
        </w:rPr>
        <w:t>ання</w:t>
      </w:r>
      <w:r w:rsidR="00FF361D" w:rsidRPr="004034C4">
        <w:rPr>
          <w:sz w:val="22"/>
          <w:szCs w:val="22"/>
          <w:lang w:val="uk-UA"/>
        </w:rPr>
        <w:t xml:space="preserve"> </w:t>
      </w:r>
      <w:r w:rsidR="009E66A0" w:rsidRPr="004034C4">
        <w:rPr>
          <w:sz w:val="22"/>
          <w:szCs w:val="22"/>
          <w:lang w:val="uk-UA"/>
        </w:rPr>
        <w:t>акту наданих послуг</w:t>
      </w:r>
      <w:r w:rsidRPr="004034C4">
        <w:rPr>
          <w:sz w:val="22"/>
          <w:szCs w:val="22"/>
          <w:lang w:val="uk-UA"/>
        </w:rPr>
        <w:t>. Якщо Учасник пропонує власну систему оплат</w:t>
      </w:r>
      <w:r w:rsidR="0000195C" w:rsidRPr="004034C4">
        <w:rPr>
          <w:sz w:val="22"/>
          <w:szCs w:val="22"/>
          <w:lang w:val="uk-UA"/>
        </w:rPr>
        <w:t>и</w:t>
      </w:r>
      <w:r w:rsidRPr="004034C4">
        <w:rPr>
          <w:sz w:val="22"/>
          <w:szCs w:val="22"/>
          <w:lang w:val="uk-UA"/>
        </w:rPr>
        <w:t xml:space="preserve">, просимо вказати її в Додатку </w:t>
      </w:r>
      <w:r w:rsidR="007654D9" w:rsidRPr="004034C4">
        <w:rPr>
          <w:sz w:val="22"/>
          <w:szCs w:val="22"/>
          <w:lang w:val="uk-UA"/>
        </w:rPr>
        <w:t>№</w:t>
      </w:r>
      <w:r w:rsidR="00951705" w:rsidRPr="004034C4">
        <w:rPr>
          <w:sz w:val="22"/>
          <w:szCs w:val="22"/>
          <w:lang w:val="uk-UA"/>
        </w:rPr>
        <w:t>3</w:t>
      </w:r>
      <w:r w:rsidR="00735D22" w:rsidRPr="004034C4">
        <w:rPr>
          <w:sz w:val="22"/>
          <w:szCs w:val="22"/>
          <w:lang w:val="uk-UA"/>
        </w:rPr>
        <w:t xml:space="preserve">, а також </w:t>
      </w:r>
      <w:r w:rsidR="00951705" w:rsidRPr="004034C4">
        <w:rPr>
          <w:sz w:val="22"/>
          <w:szCs w:val="22"/>
          <w:lang w:val="uk-UA"/>
        </w:rPr>
        <w:t xml:space="preserve">окремим документом </w:t>
      </w:r>
      <w:r w:rsidR="00B0201A" w:rsidRPr="004034C4">
        <w:rPr>
          <w:sz w:val="22"/>
          <w:szCs w:val="22"/>
          <w:lang w:val="uk-UA"/>
        </w:rPr>
        <w:t>надати</w:t>
      </w:r>
      <w:r w:rsidR="008B0F0B" w:rsidRPr="004034C4">
        <w:rPr>
          <w:sz w:val="22"/>
          <w:szCs w:val="22"/>
          <w:lang w:val="uk-UA"/>
        </w:rPr>
        <w:t>:</w:t>
      </w:r>
      <w:r w:rsidR="00FD1BA5" w:rsidRPr="004034C4">
        <w:rPr>
          <w:sz w:val="22"/>
          <w:szCs w:val="22"/>
          <w:lang w:val="uk-UA"/>
        </w:rPr>
        <w:t xml:space="preserve"> </w:t>
      </w:r>
    </w:p>
    <w:p w14:paraId="0F7BE361" w14:textId="4C71E381" w:rsidR="00594518" w:rsidRPr="004034C4" w:rsidRDefault="00594518" w:rsidP="00594518">
      <w:pPr>
        <w:widowControl w:val="0"/>
        <w:numPr>
          <w:ilvl w:val="0"/>
          <w:numId w:val="28"/>
        </w:numPr>
        <w:tabs>
          <w:tab w:val="num" w:pos="900"/>
        </w:tabs>
        <w:autoSpaceDE w:val="0"/>
        <w:autoSpaceDN w:val="0"/>
        <w:ind w:right="-1"/>
        <w:contextualSpacing/>
        <w:jc w:val="both"/>
        <w:rPr>
          <w:rFonts w:eastAsia="Arial Unicode MS"/>
          <w:sz w:val="22"/>
          <w:szCs w:val="22"/>
          <w:lang w:val="uk-UA" w:eastAsia="en-US"/>
        </w:rPr>
      </w:pPr>
      <w:r w:rsidRPr="004034C4">
        <w:rPr>
          <w:rFonts w:eastAsia="Arial Unicode MS"/>
          <w:sz w:val="22"/>
          <w:szCs w:val="22"/>
          <w:lang w:val="uk-UA" w:eastAsia="en-US"/>
        </w:rPr>
        <w:t>Умови оплати (відсоток авансового платежу, проміжні платежі</w:t>
      </w:r>
      <w:r w:rsidR="00F1742B" w:rsidRPr="004034C4">
        <w:rPr>
          <w:rFonts w:eastAsia="Arial Unicode MS"/>
          <w:sz w:val="22"/>
          <w:szCs w:val="22"/>
          <w:lang w:val="uk-UA" w:eastAsia="en-US"/>
        </w:rPr>
        <w:t xml:space="preserve">, </w:t>
      </w:r>
      <w:r w:rsidRPr="004034C4">
        <w:rPr>
          <w:rFonts w:eastAsia="Arial Unicode MS"/>
          <w:sz w:val="22"/>
          <w:szCs w:val="22"/>
          <w:lang w:val="uk-UA" w:eastAsia="en-US"/>
        </w:rPr>
        <w:t>остаточний розрахунок).</w:t>
      </w:r>
    </w:p>
    <w:p w14:paraId="1A02F404" w14:textId="704CFF71" w:rsidR="00290170" w:rsidRPr="004034C4" w:rsidRDefault="00290170" w:rsidP="00290170">
      <w:pPr>
        <w:widowControl w:val="0"/>
        <w:numPr>
          <w:ilvl w:val="0"/>
          <w:numId w:val="28"/>
        </w:numPr>
        <w:tabs>
          <w:tab w:val="num" w:pos="900"/>
        </w:tabs>
        <w:autoSpaceDE w:val="0"/>
        <w:autoSpaceDN w:val="0"/>
        <w:ind w:right="-1"/>
        <w:contextualSpacing/>
        <w:jc w:val="both"/>
        <w:rPr>
          <w:rFonts w:eastAsia="Arial Unicode MS"/>
          <w:sz w:val="22"/>
          <w:szCs w:val="22"/>
          <w:lang w:val="uk-UA" w:eastAsia="en-US"/>
        </w:rPr>
      </w:pPr>
      <w:r w:rsidRPr="004034C4">
        <w:rPr>
          <w:rFonts w:eastAsia="Arial Unicode MS"/>
          <w:sz w:val="22"/>
          <w:szCs w:val="22"/>
          <w:lang w:val="uk-UA" w:eastAsia="en-US"/>
        </w:rPr>
        <w:t xml:space="preserve">Етапи надання послуг та відповідно до них графік </w:t>
      </w:r>
      <w:proofErr w:type="spellStart"/>
      <w:r w:rsidRPr="004034C4">
        <w:rPr>
          <w:rFonts w:eastAsia="Arial Unicode MS"/>
          <w:sz w:val="22"/>
          <w:szCs w:val="22"/>
          <w:lang w:val="uk-UA" w:eastAsia="en-US"/>
        </w:rPr>
        <w:t>оплат</w:t>
      </w:r>
      <w:proofErr w:type="spellEnd"/>
      <w:r w:rsidRPr="004034C4">
        <w:rPr>
          <w:rFonts w:eastAsia="Arial Unicode MS"/>
          <w:sz w:val="22"/>
          <w:szCs w:val="22"/>
          <w:lang w:val="uk-UA" w:eastAsia="en-US"/>
        </w:rPr>
        <w:t xml:space="preserve">.    </w:t>
      </w:r>
    </w:p>
    <w:p w14:paraId="1ECEB4EA" w14:textId="77777777" w:rsidR="00594518" w:rsidRPr="004034C4" w:rsidRDefault="00594518" w:rsidP="00594518">
      <w:pPr>
        <w:widowControl w:val="0"/>
        <w:numPr>
          <w:ilvl w:val="0"/>
          <w:numId w:val="28"/>
        </w:numPr>
        <w:tabs>
          <w:tab w:val="num" w:pos="900"/>
        </w:tabs>
        <w:autoSpaceDE w:val="0"/>
        <w:autoSpaceDN w:val="0"/>
        <w:ind w:right="-1"/>
        <w:contextualSpacing/>
        <w:jc w:val="both"/>
        <w:rPr>
          <w:rFonts w:eastAsia="Arial Unicode MS"/>
          <w:sz w:val="22"/>
          <w:szCs w:val="22"/>
          <w:lang w:val="uk-UA" w:eastAsia="en-US"/>
        </w:rPr>
      </w:pPr>
      <w:r w:rsidRPr="004034C4">
        <w:rPr>
          <w:rFonts w:eastAsia="Arial Unicode MS"/>
          <w:sz w:val="22"/>
          <w:szCs w:val="22"/>
          <w:lang w:val="uk-UA" w:eastAsia="en-US"/>
        </w:rPr>
        <w:lastRenderedPageBreak/>
        <w:t>Терміни оплати (чіткі терміни здійснення платежів після завершення кожного етапу робіт).</w:t>
      </w:r>
    </w:p>
    <w:p w14:paraId="61DB8AB1" w14:textId="57BF8C36" w:rsidR="003E03A5" w:rsidRPr="00D17F95" w:rsidRDefault="00594518" w:rsidP="00AB225E">
      <w:pPr>
        <w:pStyle w:val="af0"/>
        <w:widowControl w:val="0"/>
        <w:numPr>
          <w:ilvl w:val="0"/>
          <w:numId w:val="28"/>
        </w:numPr>
        <w:shd w:val="clear" w:color="auto" w:fill="FFFFFF"/>
        <w:tabs>
          <w:tab w:val="left" w:pos="993"/>
        </w:tabs>
        <w:autoSpaceDE w:val="0"/>
        <w:autoSpaceDN w:val="0"/>
        <w:spacing w:line="269" w:lineRule="exact"/>
        <w:jc w:val="both"/>
        <w:rPr>
          <w:rFonts w:eastAsia="Arial Unicode MS"/>
          <w:sz w:val="22"/>
          <w:szCs w:val="22"/>
          <w:lang w:val="uk-UA" w:eastAsia="en-US"/>
        </w:rPr>
      </w:pPr>
      <w:r w:rsidRPr="00D17F95">
        <w:rPr>
          <w:rFonts w:eastAsia="Arial Unicode MS"/>
          <w:sz w:val="22"/>
          <w:szCs w:val="22"/>
          <w:lang w:val="uk-UA" w:eastAsia="en-US"/>
        </w:rPr>
        <w:t xml:space="preserve">Можливість коригування (умови, за яких можливе коригування графіку </w:t>
      </w:r>
      <w:proofErr w:type="spellStart"/>
      <w:r w:rsidRPr="00D17F95">
        <w:rPr>
          <w:rFonts w:eastAsia="Arial Unicode MS"/>
          <w:sz w:val="22"/>
          <w:szCs w:val="22"/>
          <w:lang w:val="uk-UA" w:eastAsia="en-US"/>
        </w:rPr>
        <w:t>оплат</w:t>
      </w:r>
      <w:proofErr w:type="spellEnd"/>
      <w:r w:rsidRPr="00D17F95">
        <w:rPr>
          <w:rFonts w:eastAsia="Arial Unicode MS"/>
          <w:sz w:val="22"/>
          <w:szCs w:val="22"/>
          <w:lang w:val="uk-UA" w:eastAsia="en-US"/>
        </w:rPr>
        <w:t xml:space="preserve"> за взаємною згодою сторін</w:t>
      </w:r>
      <w:r w:rsidR="008B0F0B" w:rsidRPr="00D17F95">
        <w:rPr>
          <w:rFonts w:eastAsia="Arial Unicode MS"/>
          <w:sz w:val="22"/>
          <w:szCs w:val="22"/>
          <w:lang w:val="uk-UA" w:eastAsia="en-US"/>
        </w:rPr>
        <w:t>).</w:t>
      </w:r>
      <w:r w:rsidRPr="00D17F95">
        <w:rPr>
          <w:rFonts w:eastAsia="Arial Unicode MS"/>
          <w:sz w:val="22"/>
          <w:szCs w:val="22"/>
          <w:lang w:val="uk-UA" w:eastAsia="en-US"/>
        </w:rPr>
        <w:t xml:space="preserve">  </w:t>
      </w:r>
    </w:p>
    <w:p w14:paraId="6FE5BB16" w14:textId="3CBE2046" w:rsidR="00C36C5D" w:rsidRPr="00D17F95" w:rsidRDefault="00C36C5D" w:rsidP="009F2507">
      <w:pPr>
        <w:numPr>
          <w:ilvl w:val="1"/>
          <w:numId w:val="18"/>
        </w:numPr>
        <w:ind w:left="0" w:firstLine="357"/>
        <w:jc w:val="both"/>
        <w:rPr>
          <w:sz w:val="22"/>
          <w:szCs w:val="22"/>
          <w:lang w:val="uk-UA"/>
        </w:rPr>
      </w:pPr>
      <w:r w:rsidRPr="00D17F95">
        <w:rPr>
          <w:sz w:val="22"/>
          <w:szCs w:val="22"/>
          <w:lang w:val="uk-UA"/>
        </w:rPr>
        <w:t xml:space="preserve"> </w:t>
      </w:r>
      <w:bookmarkStart w:id="2" w:name="_Hlk185516264"/>
      <w:r w:rsidRPr="00D17F95">
        <w:rPr>
          <w:sz w:val="22"/>
          <w:szCs w:val="22"/>
          <w:lang w:val="uk-UA"/>
        </w:rPr>
        <w:t>Перелік юридичних  осіб до консолідації може бути збільшений  за окремо погодженим сторонами графіком та з фіксованою вартістю, що не має перевищувати вартість базової пропозиції</w:t>
      </w:r>
      <w:bookmarkEnd w:id="2"/>
      <w:r w:rsidRPr="00D17F95">
        <w:rPr>
          <w:sz w:val="22"/>
          <w:szCs w:val="22"/>
          <w:lang w:val="uk-UA"/>
        </w:rPr>
        <w:t>.</w:t>
      </w:r>
    </w:p>
    <w:p w14:paraId="50367BDE" w14:textId="7A3F77D9" w:rsidR="009F2507" w:rsidRPr="00D17F95" w:rsidRDefault="003F5F50" w:rsidP="009F2507">
      <w:pPr>
        <w:numPr>
          <w:ilvl w:val="1"/>
          <w:numId w:val="18"/>
        </w:numPr>
        <w:ind w:left="0" w:firstLine="357"/>
        <w:jc w:val="both"/>
        <w:rPr>
          <w:sz w:val="22"/>
          <w:szCs w:val="22"/>
          <w:lang w:val="uk-UA"/>
        </w:rPr>
      </w:pPr>
      <w:r w:rsidRPr="00D17F95">
        <w:rPr>
          <w:sz w:val="22"/>
          <w:szCs w:val="22"/>
          <w:lang w:val="uk-UA" w:eastAsia="en-US"/>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даного конкурсного відбору</w:t>
      </w:r>
      <w:r w:rsidR="005A5F8A" w:rsidRPr="00D17F95">
        <w:rPr>
          <w:color w:val="000000"/>
          <w:sz w:val="22"/>
          <w:szCs w:val="22"/>
          <w:lang w:val="uk-UA" w:eastAsia="uk-UA"/>
        </w:rPr>
        <w:t>.</w:t>
      </w:r>
    </w:p>
    <w:p w14:paraId="0DF076FE" w14:textId="727D5C63" w:rsidR="003F5F50" w:rsidRPr="00D17F95" w:rsidRDefault="003F5F50" w:rsidP="009F2507">
      <w:pPr>
        <w:numPr>
          <w:ilvl w:val="1"/>
          <w:numId w:val="18"/>
        </w:numPr>
        <w:ind w:left="0" w:firstLine="357"/>
        <w:jc w:val="both"/>
        <w:rPr>
          <w:sz w:val="22"/>
          <w:szCs w:val="22"/>
          <w:lang w:val="uk-UA"/>
        </w:rPr>
      </w:pPr>
      <w:r w:rsidRPr="00D17F95">
        <w:rPr>
          <w:color w:val="000000"/>
          <w:sz w:val="22"/>
          <w:szCs w:val="22"/>
          <w:lang w:val="uk-UA" w:eastAsia="uk-UA"/>
        </w:rPr>
        <w:t xml:space="preserve">У разі відмінності пропозиції Учасника  від технічного завдання (Додаток </w:t>
      </w:r>
      <w:r w:rsidR="00E653E1" w:rsidRPr="00D17F95">
        <w:rPr>
          <w:color w:val="000000"/>
          <w:sz w:val="22"/>
          <w:szCs w:val="22"/>
          <w:lang w:val="uk-UA" w:eastAsia="uk-UA"/>
        </w:rPr>
        <w:t>2</w:t>
      </w:r>
      <w:r w:rsidRPr="00D17F95">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17F95" w:rsidRDefault="009F2507" w:rsidP="001A065E">
      <w:pPr>
        <w:numPr>
          <w:ilvl w:val="1"/>
          <w:numId w:val="18"/>
        </w:numPr>
        <w:ind w:left="0" w:firstLine="357"/>
        <w:jc w:val="both"/>
        <w:rPr>
          <w:sz w:val="22"/>
          <w:szCs w:val="22"/>
          <w:lang w:val="uk-UA"/>
        </w:rPr>
      </w:pPr>
      <w:r w:rsidRPr="00D17F95">
        <w:rPr>
          <w:color w:val="000000"/>
          <w:sz w:val="22"/>
          <w:szCs w:val="22"/>
          <w:lang w:val="uk-UA" w:eastAsia="uk-UA"/>
        </w:rPr>
        <w:t xml:space="preserve"> </w:t>
      </w:r>
      <w:r w:rsidR="00F5724C" w:rsidRPr="00D17F95">
        <w:rPr>
          <w:sz w:val="22"/>
          <w:szCs w:val="22"/>
          <w:lang w:val="uk-UA"/>
        </w:rPr>
        <w:t xml:space="preserve">Замовник залишає за собою право вимагати від </w:t>
      </w:r>
      <w:r w:rsidR="00084AA2" w:rsidRPr="00D17F95">
        <w:rPr>
          <w:sz w:val="22"/>
          <w:szCs w:val="22"/>
          <w:lang w:val="uk-UA"/>
        </w:rPr>
        <w:t>У</w:t>
      </w:r>
      <w:r w:rsidR="00F5724C" w:rsidRPr="00D17F95">
        <w:rPr>
          <w:sz w:val="22"/>
          <w:szCs w:val="22"/>
          <w:lang w:val="uk-UA"/>
        </w:rPr>
        <w:t xml:space="preserve">часників </w:t>
      </w:r>
      <w:r w:rsidR="00084AA2" w:rsidRPr="00D17F95">
        <w:rPr>
          <w:sz w:val="22"/>
          <w:szCs w:val="22"/>
          <w:lang w:val="uk-UA"/>
        </w:rPr>
        <w:t>процедури закупівлі</w:t>
      </w:r>
      <w:r w:rsidR="00F5724C" w:rsidRPr="00D17F95">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17F95">
        <w:rPr>
          <w:sz w:val="22"/>
          <w:szCs w:val="22"/>
          <w:lang w:val="uk-UA"/>
        </w:rPr>
        <w:t>У</w:t>
      </w:r>
      <w:r w:rsidR="00F5724C" w:rsidRPr="00D17F95">
        <w:rPr>
          <w:sz w:val="22"/>
          <w:szCs w:val="22"/>
          <w:lang w:val="uk-UA"/>
        </w:rPr>
        <w:t>часника дано</w:t>
      </w:r>
      <w:r w:rsidR="00AE62A5" w:rsidRPr="00D17F95">
        <w:rPr>
          <w:sz w:val="22"/>
          <w:szCs w:val="22"/>
          <w:lang w:val="uk-UA"/>
        </w:rPr>
        <w:t>ї процедури закупівлі</w:t>
      </w:r>
      <w:r w:rsidR="00F5724C" w:rsidRPr="00D17F95">
        <w:rPr>
          <w:sz w:val="22"/>
          <w:szCs w:val="22"/>
          <w:lang w:val="uk-UA"/>
        </w:rPr>
        <w:t>.</w:t>
      </w:r>
      <w:r w:rsidRPr="00D17F95">
        <w:rPr>
          <w:sz w:val="22"/>
          <w:szCs w:val="22"/>
          <w:lang w:val="uk-UA"/>
        </w:rPr>
        <w:t xml:space="preserve"> </w:t>
      </w:r>
    </w:p>
    <w:p w14:paraId="23F0D60F" w14:textId="64A815CE" w:rsidR="004E7D16" w:rsidRPr="00D17F95" w:rsidRDefault="001A065E" w:rsidP="001A065E">
      <w:pPr>
        <w:numPr>
          <w:ilvl w:val="1"/>
          <w:numId w:val="18"/>
        </w:numPr>
        <w:ind w:left="0" w:firstLine="357"/>
        <w:jc w:val="both"/>
        <w:rPr>
          <w:sz w:val="22"/>
          <w:szCs w:val="22"/>
          <w:lang w:val="uk-UA"/>
        </w:rPr>
      </w:pPr>
      <w:r w:rsidRPr="00D17F95">
        <w:rPr>
          <w:sz w:val="22"/>
          <w:szCs w:val="22"/>
          <w:lang w:val="uk-UA"/>
        </w:rPr>
        <w:t xml:space="preserve"> </w:t>
      </w:r>
      <w:r w:rsidR="004E7D16" w:rsidRPr="00D17F95">
        <w:rPr>
          <w:sz w:val="22"/>
          <w:szCs w:val="22"/>
          <w:lang w:val="uk-UA"/>
        </w:rPr>
        <w:t>Замовник залишає за собою право вносити зміни в тендерну документацію в разі необхідності.</w:t>
      </w:r>
    </w:p>
    <w:p w14:paraId="765C31DF" w14:textId="77777777" w:rsidR="00846839" w:rsidRPr="00D17F95" w:rsidRDefault="00846839" w:rsidP="001A065E">
      <w:pPr>
        <w:numPr>
          <w:ilvl w:val="1"/>
          <w:numId w:val="18"/>
        </w:numPr>
        <w:ind w:left="0" w:firstLine="357"/>
        <w:rPr>
          <w:sz w:val="22"/>
          <w:szCs w:val="22"/>
          <w:lang w:val="uk-UA"/>
        </w:rPr>
      </w:pPr>
      <w:r w:rsidRPr="00D17F95">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D17F95" w:rsidRDefault="00846839" w:rsidP="00846839">
      <w:pPr>
        <w:ind w:left="357"/>
        <w:jc w:val="both"/>
        <w:rPr>
          <w:sz w:val="22"/>
          <w:szCs w:val="22"/>
          <w:lang w:val="uk-UA"/>
        </w:rPr>
      </w:pPr>
    </w:p>
    <w:p w14:paraId="14153BA7" w14:textId="77777777" w:rsidR="00875E2E" w:rsidRPr="00D17F95" w:rsidRDefault="00875E2E" w:rsidP="00875E2E">
      <w:pPr>
        <w:ind w:firstLine="357"/>
        <w:contextualSpacing/>
        <w:jc w:val="both"/>
        <w:rPr>
          <w:sz w:val="22"/>
          <w:szCs w:val="22"/>
          <w:lang w:val="uk-UA"/>
        </w:rPr>
      </w:pPr>
    </w:p>
    <w:p w14:paraId="0D9E3B21" w14:textId="58EBF32F" w:rsidR="00325A62" w:rsidRPr="00D17F95"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sidRPr="00D17F95">
        <w:rPr>
          <w:rFonts w:ascii="Times New Roman" w:hAnsi="Times New Roman" w:cs="Times New Roman"/>
          <w:b/>
          <w:bCs/>
          <w:sz w:val="22"/>
          <w:szCs w:val="22"/>
          <w:lang w:val="uk-UA"/>
        </w:rPr>
        <w:t xml:space="preserve"> </w:t>
      </w:r>
      <w:r w:rsidRPr="00D17F95">
        <w:rPr>
          <w:rFonts w:ascii="Times New Roman" w:hAnsi="Times New Roman" w:cs="Times New Roman"/>
          <w:b/>
          <w:bCs/>
          <w:sz w:val="22"/>
          <w:szCs w:val="22"/>
          <w:lang w:val="en-US"/>
        </w:rPr>
        <w:t>IV</w:t>
      </w:r>
      <w:r w:rsidRPr="00D17F95">
        <w:rPr>
          <w:rFonts w:ascii="Times New Roman" w:hAnsi="Times New Roman" w:cs="Times New Roman"/>
          <w:b/>
          <w:bCs/>
          <w:sz w:val="22"/>
          <w:szCs w:val="22"/>
        </w:rPr>
        <w:t xml:space="preserve">. </w:t>
      </w:r>
      <w:r w:rsidR="00336A40" w:rsidRPr="00D17F95">
        <w:rPr>
          <w:rFonts w:ascii="Times New Roman" w:hAnsi="Times New Roman" w:cs="Times New Roman"/>
          <w:b/>
          <w:bCs/>
          <w:sz w:val="22"/>
          <w:szCs w:val="22"/>
          <w:lang w:val="uk-UA"/>
        </w:rPr>
        <w:t xml:space="preserve">Склад </w:t>
      </w:r>
      <w:r w:rsidR="0085481F" w:rsidRPr="00D17F95">
        <w:rPr>
          <w:rFonts w:ascii="Times New Roman" w:hAnsi="Times New Roman" w:cs="Times New Roman"/>
          <w:b/>
          <w:bCs/>
          <w:sz w:val="22"/>
          <w:szCs w:val="22"/>
          <w:lang w:val="uk-UA"/>
        </w:rPr>
        <w:t>цінов</w:t>
      </w:r>
      <w:r w:rsidR="00336A40" w:rsidRPr="00D17F95">
        <w:rPr>
          <w:rFonts w:ascii="Times New Roman" w:hAnsi="Times New Roman" w:cs="Times New Roman"/>
          <w:b/>
          <w:bCs/>
          <w:sz w:val="22"/>
          <w:szCs w:val="22"/>
          <w:lang w:val="uk-UA"/>
        </w:rPr>
        <w:t>ої пропозиції:</w:t>
      </w:r>
    </w:p>
    <w:p w14:paraId="20E424CB" w14:textId="21139A8B"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Титульний аркуш у формі Додатку </w:t>
      </w:r>
      <w:r w:rsidR="007654D9" w:rsidRPr="00D17F95">
        <w:rPr>
          <w:rFonts w:ascii="Times New Roman" w:eastAsia="Times New Roman" w:hAnsi="Times New Roman" w:cs="Times New Roman"/>
          <w:sz w:val="22"/>
          <w:szCs w:val="22"/>
          <w:lang w:val="uk-UA"/>
        </w:rPr>
        <w:t>№</w:t>
      </w:r>
      <w:r w:rsidRPr="00D17F95">
        <w:rPr>
          <w:rFonts w:ascii="Times New Roman" w:eastAsia="Times New Roman" w:hAnsi="Times New Roman" w:cs="Times New Roman"/>
          <w:sz w:val="22"/>
          <w:szCs w:val="22"/>
          <w:lang w:val="uk-UA"/>
        </w:rPr>
        <w:t xml:space="preserve">1 до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rPr>
        <w:t>;</w:t>
      </w:r>
    </w:p>
    <w:p w14:paraId="6B6451CA" w14:textId="3455B38F" w:rsidR="00E550F7" w:rsidRPr="00D17F95" w:rsidRDefault="00B93C9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Цінова</w:t>
      </w:r>
      <w:r w:rsidR="00E550F7" w:rsidRPr="00D17F95">
        <w:rPr>
          <w:rFonts w:ascii="Times New Roman" w:eastAsia="Times New Roman" w:hAnsi="Times New Roman" w:cs="Times New Roman"/>
          <w:sz w:val="22"/>
          <w:szCs w:val="22"/>
          <w:lang w:val="uk-UA"/>
        </w:rPr>
        <w:t xml:space="preserve"> пропозиція у формі Додатку </w:t>
      </w:r>
      <w:r w:rsidR="007654D9" w:rsidRPr="00D17F95">
        <w:rPr>
          <w:rFonts w:ascii="Times New Roman" w:eastAsia="Times New Roman" w:hAnsi="Times New Roman" w:cs="Times New Roman"/>
          <w:sz w:val="22"/>
          <w:szCs w:val="22"/>
          <w:lang w:val="uk-UA"/>
        </w:rPr>
        <w:t>№</w:t>
      </w:r>
      <w:r w:rsidR="00E653E1" w:rsidRPr="00D17F95">
        <w:rPr>
          <w:rFonts w:ascii="Times New Roman" w:eastAsia="Times New Roman" w:hAnsi="Times New Roman" w:cs="Times New Roman"/>
          <w:sz w:val="22"/>
          <w:szCs w:val="22"/>
          <w:lang w:val="uk-UA"/>
        </w:rPr>
        <w:t xml:space="preserve"> 3</w:t>
      </w:r>
      <w:r w:rsidR="00E550F7" w:rsidRPr="00D17F95">
        <w:rPr>
          <w:rFonts w:ascii="Times New Roman" w:eastAsia="Times New Roman" w:hAnsi="Times New Roman" w:cs="Times New Roman"/>
          <w:sz w:val="22"/>
          <w:szCs w:val="22"/>
          <w:lang w:val="uk-UA"/>
        </w:rPr>
        <w:t xml:space="preserve"> до </w:t>
      </w:r>
      <w:r w:rsidR="001D142B" w:rsidRPr="00D17F95">
        <w:rPr>
          <w:rFonts w:ascii="Times New Roman" w:eastAsia="Times New Roman" w:hAnsi="Times New Roman" w:cs="Times New Roman"/>
          <w:sz w:val="22"/>
          <w:szCs w:val="22"/>
          <w:lang w:val="uk-UA"/>
        </w:rPr>
        <w:t>Запиту</w:t>
      </w:r>
      <w:r w:rsidR="00E550F7" w:rsidRPr="00D17F95">
        <w:rPr>
          <w:rFonts w:ascii="Times New Roman" w:eastAsia="Times New Roman" w:hAnsi="Times New Roman" w:cs="Times New Roman"/>
          <w:sz w:val="22"/>
          <w:szCs w:val="22"/>
        </w:rPr>
        <w:t>;</w:t>
      </w:r>
    </w:p>
    <w:p w14:paraId="02A2AE9E" w14:textId="0C2C86EC"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001A296E" w:rsidRPr="00D17F95">
        <w:rPr>
          <w:rFonts w:ascii="Times New Roman" w:eastAsia="Times New Roman" w:hAnsi="Times New Roman" w:cs="Times New Roman"/>
          <w:b/>
          <w:bCs/>
          <w:sz w:val="22"/>
          <w:szCs w:val="22"/>
          <w:lang w:val="uk-UA"/>
        </w:rPr>
        <w:t>РОЗДІЛ</w:t>
      </w:r>
      <w:r w:rsidRPr="00D17F95">
        <w:rPr>
          <w:rFonts w:ascii="Times New Roman" w:eastAsia="Times New Roman" w:hAnsi="Times New Roman" w:cs="Times New Roman"/>
          <w:b/>
          <w:bCs/>
          <w:sz w:val="22"/>
          <w:szCs w:val="22"/>
          <w:lang w:val="uk-UA"/>
        </w:rPr>
        <w:t>У</w:t>
      </w:r>
      <w:r w:rsidRPr="00D17F95">
        <w:rPr>
          <w:rFonts w:ascii="Times New Roman" w:eastAsia="Times New Roman" w:hAnsi="Times New Roman" w:cs="Times New Roman"/>
          <w:b/>
          <w:sz w:val="22"/>
          <w:szCs w:val="22"/>
          <w:lang w:val="uk-UA"/>
        </w:rPr>
        <w:t xml:space="preserve"> </w:t>
      </w:r>
      <w:r w:rsidRPr="00D17F95">
        <w:rPr>
          <w:rFonts w:ascii="Times New Roman" w:eastAsia="Times New Roman" w:hAnsi="Times New Roman" w:cs="Times New Roman"/>
          <w:b/>
          <w:sz w:val="22"/>
          <w:szCs w:val="22"/>
          <w:lang w:val="en-US"/>
        </w:rPr>
        <w:t>II</w:t>
      </w:r>
      <w:r w:rsidRPr="00D17F95">
        <w:rPr>
          <w:rFonts w:ascii="Times New Roman" w:eastAsia="Times New Roman" w:hAnsi="Times New Roman" w:cs="Times New Roman"/>
          <w:sz w:val="22"/>
          <w:szCs w:val="22"/>
          <w:lang w:val="uk-UA"/>
        </w:rPr>
        <w:t xml:space="preserve">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lang w:val="uk-UA"/>
        </w:rPr>
        <w:t xml:space="preserve"> (Кваліфікаційні вимоги до Учасника);</w:t>
      </w:r>
    </w:p>
    <w:p w14:paraId="36119D2B" w14:textId="77777777"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D17F95"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B03F1CE" w14:textId="2836D020" w:rsidR="007545FF" w:rsidRPr="00D17F95" w:rsidRDefault="1327F54A" w:rsidP="1327F54A">
      <w:pPr>
        <w:ind w:firstLine="357"/>
        <w:jc w:val="both"/>
        <w:rPr>
          <w:sz w:val="22"/>
          <w:szCs w:val="22"/>
          <w:lang w:val="uk-UA"/>
        </w:rPr>
      </w:pPr>
      <w:r w:rsidRPr="00D17F95">
        <w:rPr>
          <w:sz w:val="22"/>
          <w:szCs w:val="22"/>
          <w:lang w:val="uk-UA"/>
        </w:rPr>
        <w:t xml:space="preserve">Запитання щодо </w:t>
      </w:r>
      <w:r w:rsidR="00B93C90" w:rsidRPr="00D17F95">
        <w:rPr>
          <w:sz w:val="22"/>
          <w:szCs w:val="22"/>
          <w:lang w:val="uk-UA"/>
        </w:rPr>
        <w:t xml:space="preserve">цінової </w:t>
      </w:r>
      <w:r w:rsidRPr="00D17F95">
        <w:rPr>
          <w:sz w:val="22"/>
          <w:szCs w:val="22"/>
          <w:lang w:val="uk-UA"/>
        </w:rPr>
        <w:t xml:space="preserve">пропозиції надсилайте на адресу: </w:t>
      </w:r>
      <w:hyperlink r:id="rId14">
        <w:r w:rsidRPr="00D17F95">
          <w:rPr>
            <w:rStyle w:val="ac"/>
            <w:sz w:val="22"/>
            <w:szCs w:val="22"/>
            <w:lang w:val="uk-UA"/>
          </w:rPr>
          <w:t>tender@redcross.org.ua</w:t>
        </w:r>
      </w:hyperlink>
      <w:r w:rsidRPr="00D17F95">
        <w:rPr>
          <w:sz w:val="22"/>
          <w:szCs w:val="22"/>
          <w:lang w:val="uk-UA"/>
        </w:rPr>
        <w:t xml:space="preserve"> до 18:00 </w:t>
      </w:r>
      <w:r w:rsidR="00E07922" w:rsidRPr="00D17F95">
        <w:rPr>
          <w:sz w:val="22"/>
          <w:szCs w:val="22"/>
          <w:lang w:val="uk-UA"/>
        </w:rPr>
        <w:t>13</w:t>
      </w:r>
      <w:r w:rsidRPr="00D17F95">
        <w:rPr>
          <w:sz w:val="22"/>
          <w:szCs w:val="22"/>
          <w:lang w:val="uk-UA"/>
        </w:rPr>
        <w:t>.</w:t>
      </w:r>
      <w:r w:rsidR="00E07922" w:rsidRPr="00D17F95">
        <w:rPr>
          <w:sz w:val="22"/>
          <w:szCs w:val="22"/>
          <w:lang w:val="uk-UA"/>
        </w:rPr>
        <w:t>01</w:t>
      </w:r>
      <w:r w:rsidRPr="00D17F95">
        <w:rPr>
          <w:sz w:val="22"/>
          <w:szCs w:val="22"/>
          <w:lang w:val="uk-UA"/>
        </w:rPr>
        <w:t>.202</w:t>
      </w:r>
      <w:r w:rsidR="00E07922" w:rsidRPr="00D17F95">
        <w:rPr>
          <w:sz w:val="22"/>
          <w:szCs w:val="22"/>
          <w:lang w:val="uk-UA"/>
        </w:rPr>
        <w:t>5</w:t>
      </w:r>
      <w:r w:rsidRPr="00D17F95">
        <w:rPr>
          <w:sz w:val="22"/>
          <w:szCs w:val="22"/>
          <w:lang w:val="uk-UA"/>
        </w:rPr>
        <w:t xml:space="preserve"> року.</w:t>
      </w:r>
    </w:p>
    <w:p w14:paraId="5F7E7F29" w14:textId="77777777" w:rsidR="00AD6D3B" w:rsidRPr="00D17F95" w:rsidRDefault="00AD6D3B" w:rsidP="006F07C6">
      <w:pPr>
        <w:ind w:firstLine="357"/>
        <w:jc w:val="both"/>
        <w:rPr>
          <w:sz w:val="22"/>
          <w:szCs w:val="22"/>
          <w:lang w:val="uk-UA"/>
        </w:rPr>
      </w:pPr>
    </w:p>
    <w:p w14:paraId="55552565" w14:textId="08293775" w:rsidR="00AD6D3B" w:rsidRPr="00D17F95" w:rsidRDefault="00AD6D3B" w:rsidP="006F07C6">
      <w:pPr>
        <w:ind w:firstLine="357"/>
        <w:jc w:val="both"/>
        <w:rPr>
          <w:sz w:val="22"/>
          <w:szCs w:val="22"/>
          <w:lang w:val="uk-UA"/>
        </w:rPr>
      </w:pPr>
      <w:r w:rsidRPr="00D17F95">
        <w:rPr>
          <w:b/>
          <w:sz w:val="22"/>
          <w:szCs w:val="22"/>
          <w:lang w:val="uk-UA"/>
        </w:rPr>
        <w:t xml:space="preserve">КІНЦЕВИЙ ТЕРМІН ПРИЙМАННЯ </w:t>
      </w:r>
      <w:r w:rsidR="00345379" w:rsidRPr="00D17F95">
        <w:rPr>
          <w:b/>
          <w:sz w:val="22"/>
          <w:szCs w:val="22"/>
          <w:lang w:val="uk-UA"/>
        </w:rPr>
        <w:t>ЦІНОВИХ</w:t>
      </w:r>
      <w:r w:rsidRPr="00D17F95">
        <w:rPr>
          <w:b/>
          <w:sz w:val="22"/>
          <w:szCs w:val="22"/>
          <w:lang w:val="uk-UA"/>
        </w:rPr>
        <w:t xml:space="preserve"> ПРОПОЗИЦІЙ</w:t>
      </w:r>
      <w:r w:rsidRPr="00D17F95">
        <w:rPr>
          <w:sz w:val="22"/>
          <w:szCs w:val="22"/>
          <w:lang w:val="uk-UA"/>
        </w:rPr>
        <w:t xml:space="preserve"> від учасників: </w:t>
      </w:r>
    </w:p>
    <w:p w14:paraId="3E886E94" w14:textId="5EBAFFB0" w:rsidR="00AD6D3B" w:rsidRPr="00E07922" w:rsidRDefault="00AD6D3B" w:rsidP="006F07C6">
      <w:pPr>
        <w:ind w:right="-23" w:firstLine="357"/>
        <w:jc w:val="both"/>
        <w:rPr>
          <w:color w:val="FF0000"/>
          <w:sz w:val="22"/>
          <w:szCs w:val="22"/>
          <w:lang w:val="uk-UA"/>
        </w:rPr>
      </w:pPr>
      <w:r w:rsidRPr="00D17F95">
        <w:rPr>
          <w:b/>
          <w:color w:val="FF0000"/>
          <w:sz w:val="22"/>
          <w:szCs w:val="22"/>
          <w:lang w:val="uk-UA"/>
        </w:rPr>
        <w:t xml:space="preserve"> </w:t>
      </w:r>
      <w:r w:rsidRPr="00D17F95">
        <w:rPr>
          <w:b/>
          <w:sz w:val="22"/>
          <w:szCs w:val="22"/>
          <w:lang w:val="uk-UA"/>
        </w:rPr>
        <w:t>«</w:t>
      </w:r>
      <w:r w:rsidR="00E07922" w:rsidRPr="00D17F95">
        <w:rPr>
          <w:b/>
          <w:sz w:val="22"/>
          <w:szCs w:val="22"/>
          <w:lang w:val="uk-UA"/>
        </w:rPr>
        <w:t>14</w:t>
      </w:r>
      <w:r w:rsidRPr="00D17F95">
        <w:rPr>
          <w:b/>
          <w:sz w:val="22"/>
          <w:szCs w:val="22"/>
          <w:lang w:val="uk-UA"/>
        </w:rPr>
        <w:t xml:space="preserve">» </w:t>
      </w:r>
      <w:r w:rsidR="00E07922" w:rsidRPr="00D17F95">
        <w:rPr>
          <w:b/>
          <w:sz w:val="22"/>
          <w:szCs w:val="22"/>
          <w:lang w:val="uk-UA"/>
        </w:rPr>
        <w:t>січня</w:t>
      </w:r>
      <w:r w:rsidRPr="00D17F95">
        <w:rPr>
          <w:b/>
          <w:sz w:val="22"/>
          <w:szCs w:val="22"/>
          <w:lang w:val="uk-UA"/>
        </w:rPr>
        <w:t xml:space="preserve"> 202</w:t>
      </w:r>
      <w:r w:rsidR="00E07922" w:rsidRPr="00D17F95">
        <w:rPr>
          <w:b/>
          <w:sz w:val="22"/>
          <w:szCs w:val="22"/>
          <w:lang w:val="uk-UA"/>
        </w:rPr>
        <w:t>5</w:t>
      </w:r>
      <w:r w:rsidRPr="00D17F95">
        <w:rPr>
          <w:b/>
          <w:sz w:val="22"/>
          <w:szCs w:val="22"/>
          <w:lang w:val="uk-UA"/>
        </w:rPr>
        <w:t xml:space="preserve"> рок</w:t>
      </w:r>
      <w:r w:rsidR="00570092" w:rsidRPr="00D17F95">
        <w:rPr>
          <w:b/>
          <w:sz w:val="22"/>
          <w:szCs w:val="22"/>
          <w:lang w:val="uk-UA"/>
        </w:rPr>
        <w:t>у</w:t>
      </w:r>
      <w:r w:rsidRPr="00D17F95">
        <w:rPr>
          <w:b/>
          <w:sz w:val="22"/>
          <w:szCs w:val="22"/>
          <w:lang w:val="uk-UA"/>
        </w:rPr>
        <w:t>.</w:t>
      </w:r>
    </w:p>
    <w:p w14:paraId="13070A45" w14:textId="77777777" w:rsidR="00AD6D3B" w:rsidRPr="00E07922" w:rsidRDefault="00AD6D3B" w:rsidP="006F07C6">
      <w:pPr>
        <w:ind w:firstLine="357"/>
        <w:jc w:val="both"/>
        <w:rPr>
          <w:sz w:val="22"/>
          <w:szCs w:val="22"/>
          <w:lang w:val="uk-UA"/>
        </w:rPr>
      </w:pPr>
    </w:p>
    <w:p w14:paraId="52EBF910" w14:textId="407836F3" w:rsidR="00E27AFC" w:rsidRPr="00E07922" w:rsidRDefault="00345379" w:rsidP="00E27AFC">
      <w:pPr>
        <w:ind w:firstLine="357"/>
        <w:jc w:val="both"/>
        <w:rPr>
          <w:b/>
          <w:sz w:val="22"/>
          <w:szCs w:val="22"/>
          <w:u w:val="single"/>
          <w:lang w:val="uk-UA"/>
        </w:rPr>
      </w:pPr>
      <w:r w:rsidRPr="00E07922">
        <w:rPr>
          <w:b/>
          <w:sz w:val="22"/>
          <w:szCs w:val="22"/>
          <w:u w:val="single"/>
          <w:lang w:val="uk-UA"/>
        </w:rPr>
        <w:t>ЦІНОВІ</w:t>
      </w:r>
      <w:r w:rsidR="00E27AFC" w:rsidRPr="00E07922">
        <w:rPr>
          <w:b/>
          <w:sz w:val="22"/>
          <w:szCs w:val="22"/>
          <w:u w:val="single"/>
          <w:lang w:val="uk-UA"/>
        </w:rPr>
        <w:t xml:space="preserve"> ПРОПОЗИЦІЇ ПРИЙМАЮТЬСЯ НА ЗАХИЩЕНУ ЕЛЕКТРОННУ АДРЕСУ:</w:t>
      </w:r>
    </w:p>
    <w:p w14:paraId="41BEAC69" w14:textId="77777777" w:rsidR="00E27AFC" w:rsidRPr="00E07922" w:rsidRDefault="00E27AFC" w:rsidP="00E27AFC">
      <w:pPr>
        <w:ind w:firstLine="357"/>
        <w:jc w:val="both"/>
        <w:rPr>
          <w:b/>
          <w:bCs/>
          <w:lang w:val="uk-UA"/>
        </w:rPr>
      </w:pPr>
      <w:hyperlink r:id="rId15" w:history="1">
        <w:r w:rsidRPr="00E07922">
          <w:rPr>
            <w:rStyle w:val="ac"/>
            <w:b/>
            <w:bCs/>
            <w:lang w:val="uk-UA"/>
          </w:rPr>
          <w:t>tender.committee@redcross.org.ua</w:t>
        </w:r>
      </w:hyperlink>
    </w:p>
    <w:p w14:paraId="4AE90A91" w14:textId="77777777" w:rsidR="00E27AFC" w:rsidRPr="00E07922" w:rsidRDefault="00E27AFC" w:rsidP="00E27AFC">
      <w:pPr>
        <w:ind w:firstLine="357"/>
        <w:jc w:val="both"/>
        <w:rPr>
          <w:sz w:val="22"/>
          <w:szCs w:val="22"/>
          <w:lang w:val="uk-UA"/>
        </w:rPr>
      </w:pPr>
    </w:p>
    <w:p w14:paraId="69472F05" w14:textId="31C55113" w:rsidR="00E27AFC" w:rsidRPr="00D17F95" w:rsidRDefault="00E27AFC" w:rsidP="00E27AFC">
      <w:pPr>
        <w:ind w:firstLine="357"/>
        <w:jc w:val="both"/>
        <w:rPr>
          <w:sz w:val="22"/>
          <w:szCs w:val="22"/>
          <w:lang w:val="uk-UA"/>
        </w:rPr>
      </w:pPr>
      <w:r w:rsidRPr="00D17F95">
        <w:rPr>
          <w:b/>
          <w:bCs/>
          <w:iCs/>
          <w:sz w:val="22"/>
          <w:szCs w:val="22"/>
          <w:lang w:val="uk-UA"/>
        </w:rPr>
        <w:t xml:space="preserve">РОЗКРИТТЯ </w:t>
      </w:r>
      <w:r w:rsidR="00345379" w:rsidRPr="00D17F95">
        <w:rPr>
          <w:b/>
          <w:bCs/>
          <w:iCs/>
          <w:sz w:val="22"/>
          <w:szCs w:val="22"/>
          <w:lang w:val="uk-UA"/>
        </w:rPr>
        <w:t>ЦІНОВ</w:t>
      </w:r>
      <w:r w:rsidR="00D53B41" w:rsidRPr="00D17F95">
        <w:rPr>
          <w:b/>
          <w:bCs/>
          <w:iCs/>
          <w:sz w:val="22"/>
          <w:szCs w:val="22"/>
          <w:lang w:val="uk-UA"/>
        </w:rPr>
        <w:t>ИХ</w:t>
      </w:r>
      <w:r w:rsidRPr="00D17F95">
        <w:rPr>
          <w:b/>
          <w:bCs/>
          <w:iCs/>
          <w:sz w:val="22"/>
          <w:szCs w:val="22"/>
          <w:lang w:val="uk-UA"/>
        </w:rPr>
        <w:t xml:space="preserve"> ПРОПОЗИЦІЙ УЧАСНИКІВ ВІДБУДЕТЬСЯ</w:t>
      </w:r>
      <w:r w:rsidRPr="00D17F95">
        <w:rPr>
          <w:sz w:val="22"/>
          <w:szCs w:val="22"/>
          <w:lang w:val="uk-UA"/>
        </w:rPr>
        <w:t>:</w:t>
      </w:r>
    </w:p>
    <w:p w14:paraId="6AE3C48E" w14:textId="4B4BE8A7" w:rsidR="00E27AFC" w:rsidRPr="00E07922" w:rsidRDefault="00E27AFC" w:rsidP="00E27AFC">
      <w:pPr>
        <w:ind w:firstLine="357"/>
        <w:jc w:val="both"/>
        <w:rPr>
          <w:sz w:val="22"/>
          <w:szCs w:val="22"/>
          <w:lang w:val="uk-UA"/>
        </w:rPr>
      </w:pPr>
      <w:r w:rsidRPr="00D17F95">
        <w:rPr>
          <w:sz w:val="22"/>
          <w:szCs w:val="22"/>
          <w:lang w:val="uk-UA"/>
        </w:rPr>
        <w:t xml:space="preserve"> </w:t>
      </w:r>
      <w:r w:rsidRPr="00D17F95">
        <w:rPr>
          <w:b/>
          <w:sz w:val="22"/>
          <w:szCs w:val="22"/>
          <w:lang w:val="uk-UA"/>
        </w:rPr>
        <w:t>«</w:t>
      </w:r>
      <w:r w:rsidR="00E07922" w:rsidRPr="00D17F95">
        <w:rPr>
          <w:b/>
          <w:sz w:val="22"/>
          <w:szCs w:val="22"/>
          <w:lang w:val="uk-UA"/>
        </w:rPr>
        <w:t>15</w:t>
      </w:r>
      <w:r w:rsidRPr="00D17F95">
        <w:rPr>
          <w:b/>
          <w:sz w:val="22"/>
          <w:szCs w:val="22"/>
          <w:lang w:val="uk-UA"/>
        </w:rPr>
        <w:t xml:space="preserve">» </w:t>
      </w:r>
      <w:r w:rsidR="00E07922" w:rsidRPr="00D17F95">
        <w:rPr>
          <w:b/>
          <w:sz w:val="22"/>
          <w:szCs w:val="22"/>
          <w:lang w:val="uk-UA"/>
        </w:rPr>
        <w:t>січня</w:t>
      </w:r>
      <w:r w:rsidRPr="00D17F95">
        <w:rPr>
          <w:b/>
          <w:sz w:val="22"/>
          <w:szCs w:val="22"/>
          <w:lang w:val="uk-UA"/>
        </w:rPr>
        <w:t xml:space="preserve"> 202</w:t>
      </w:r>
      <w:r w:rsidR="00E07922" w:rsidRPr="00D17F95">
        <w:rPr>
          <w:b/>
          <w:sz w:val="22"/>
          <w:szCs w:val="22"/>
          <w:lang w:val="uk-UA"/>
        </w:rPr>
        <w:t>4</w:t>
      </w:r>
      <w:r w:rsidRPr="00D17F95">
        <w:rPr>
          <w:b/>
          <w:sz w:val="22"/>
          <w:szCs w:val="22"/>
          <w:lang w:val="uk-UA"/>
        </w:rPr>
        <w:t xml:space="preserve"> року</w:t>
      </w:r>
      <w:r w:rsidRPr="00D17F95">
        <w:rPr>
          <w:sz w:val="22"/>
          <w:szCs w:val="22"/>
          <w:lang w:val="uk-UA"/>
        </w:rPr>
        <w:t xml:space="preserve">  об 11</w:t>
      </w:r>
      <w:r w:rsidRPr="00E07922">
        <w:rPr>
          <w:sz w:val="22"/>
          <w:szCs w:val="22"/>
          <w:lang w:val="uk-UA"/>
        </w:rPr>
        <w:t xml:space="preserve"> год. 00 хв., за адресою:  м. Київ, 03150, вул. Ділова, буд. 3 (якщо інше не буде передбачено внутрішнім розкладом).</w:t>
      </w:r>
    </w:p>
    <w:p w14:paraId="3EF87173" w14:textId="77777777" w:rsidR="00E27AFC" w:rsidRPr="00E07922" w:rsidRDefault="00E27AFC" w:rsidP="00E27AFC">
      <w:pPr>
        <w:pStyle w:val="ab"/>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E07922" w:rsidRDefault="00E27AFC" w:rsidP="00E27AFC">
      <w:pPr>
        <w:ind w:firstLine="357"/>
        <w:jc w:val="center"/>
        <w:rPr>
          <w:b/>
          <w:sz w:val="22"/>
          <w:szCs w:val="22"/>
          <w:lang w:val="uk-UA"/>
        </w:rPr>
      </w:pPr>
      <w:r w:rsidRPr="00E07922">
        <w:rPr>
          <w:b/>
          <w:sz w:val="22"/>
          <w:szCs w:val="22"/>
          <w:lang w:val="uk-UA"/>
        </w:rPr>
        <w:t xml:space="preserve">V. Правила подання та оформлення </w:t>
      </w:r>
      <w:r w:rsidR="00E37FCD" w:rsidRPr="00E07922">
        <w:rPr>
          <w:b/>
          <w:sz w:val="22"/>
          <w:szCs w:val="22"/>
          <w:lang w:val="uk-UA"/>
        </w:rPr>
        <w:t>цінової</w:t>
      </w:r>
      <w:r w:rsidRPr="00E07922">
        <w:rPr>
          <w:b/>
          <w:sz w:val="22"/>
          <w:szCs w:val="22"/>
          <w:lang w:val="uk-UA"/>
        </w:rPr>
        <w:t xml:space="preserve"> пропозиції Учасника:</w:t>
      </w:r>
    </w:p>
    <w:p w14:paraId="1615AB70" w14:textId="77777777" w:rsidR="00E27AFC" w:rsidRPr="00E07922" w:rsidRDefault="00E27AFC" w:rsidP="00E27AFC">
      <w:pPr>
        <w:widowControl w:val="0"/>
        <w:numPr>
          <w:ilvl w:val="1"/>
          <w:numId w:val="27"/>
        </w:numPr>
        <w:ind w:left="0" w:firstLine="357"/>
        <w:jc w:val="both"/>
        <w:rPr>
          <w:noProof/>
          <w:sz w:val="22"/>
          <w:szCs w:val="22"/>
          <w:lang w:val="uk-UA"/>
        </w:rPr>
      </w:pPr>
      <w:r w:rsidRPr="00E07922">
        <w:rPr>
          <w:sz w:val="22"/>
          <w:szCs w:val="22"/>
          <w:lang w:val="uk-UA"/>
        </w:rPr>
        <w:t xml:space="preserve">Учасники мають подавати пропозиції на захищену електронну адресу: </w:t>
      </w:r>
      <w:hyperlink r:id="rId16" w:history="1">
        <w:r w:rsidRPr="00E07922">
          <w:rPr>
            <w:rStyle w:val="ac"/>
            <w:b/>
            <w:bCs/>
            <w:sz w:val="22"/>
            <w:szCs w:val="22"/>
            <w:lang w:val="uk-UA"/>
          </w:rPr>
          <w:t>tender.committee@redcross.org.ua</w:t>
        </w:r>
      </w:hyperlink>
      <w:r w:rsidRPr="00E07922">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E07922">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E07922">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E07922">
        <w:rPr>
          <w:noProof/>
          <w:sz w:val="22"/>
          <w:szCs w:val="22"/>
          <w:lang w:val="uk-UA"/>
        </w:rPr>
        <w:t>Цінова</w:t>
      </w:r>
      <w:r w:rsidRPr="00E07922">
        <w:rPr>
          <w:noProof/>
          <w:sz w:val="22"/>
          <w:szCs w:val="22"/>
          <w:lang w:val="uk-UA"/>
        </w:rPr>
        <w:t xml:space="preserve"> пропозиція має</w:t>
      </w:r>
      <w:r w:rsidRPr="00AD7DCC">
        <w:rPr>
          <w:noProof/>
          <w:sz w:val="22"/>
          <w:szCs w:val="22"/>
          <w:lang w:val="uk-UA"/>
        </w:rPr>
        <w:t xml:space="preserve">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lastRenderedPageBreak/>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6D10E294" w:rsidR="00E27AFC" w:rsidRPr="00AD7DCC" w:rsidRDefault="00E27AFC" w:rsidP="00E27AFC">
      <w:pPr>
        <w:jc w:val="both"/>
        <w:rPr>
          <w:b/>
          <w:bCs/>
          <w:noProof/>
          <w:sz w:val="22"/>
          <w:szCs w:val="22"/>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00C24D64">
        <w:rPr>
          <w:b/>
          <w:noProof/>
          <w:sz w:val="22"/>
          <w:szCs w:val="22"/>
          <w:lang w:val="uk-UA"/>
        </w:rPr>
        <w:t>№</w:t>
      </w:r>
      <w:r w:rsidR="00C24D64" w:rsidRPr="00C24D64">
        <w:rPr>
          <w:b/>
          <w:bCs/>
          <w:sz w:val="22"/>
          <w:szCs w:val="22"/>
          <w:lang w:val="uk-UA"/>
        </w:rPr>
        <w:t>1659ОК</w:t>
      </w:r>
      <w:r w:rsidRPr="00C24D64">
        <w:rPr>
          <w:b/>
          <w:bCs/>
          <w:noProof/>
          <w:sz w:val="22"/>
          <w:szCs w:val="22"/>
          <w:lang w:val="uk-UA"/>
        </w:rPr>
        <w:t>.</w:t>
      </w:r>
      <w:r w:rsidRPr="00AD7DCC">
        <w:rPr>
          <w:b/>
          <w:bCs/>
          <w:noProof/>
          <w:color w:val="FF0000"/>
          <w:sz w:val="22"/>
          <w:szCs w:val="22"/>
          <w:lang w:val="uk-UA"/>
        </w:rPr>
        <w:t xml:space="preserve"> НАЗВА УЧАСНИКА.</w:t>
      </w:r>
      <w:r w:rsidRPr="00AD7DCC">
        <w:rPr>
          <w:noProof/>
          <w:color w:val="FF0000"/>
          <w:sz w:val="22"/>
          <w:szCs w:val="22"/>
          <w:lang w:val="uk-UA"/>
        </w:rPr>
        <w:t xml:space="preserve"> </w:t>
      </w:r>
      <w:r w:rsidR="00C24D64" w:rsidRPr="00C24D64">
        <w:rPr>
          <w:b/>
          <w:bCs/>
          <w:lang w:val="uk-UA"/>
        </w:rPr>
        <w:t>Послуги з аудиту за 2024-2026 р.</w:t>
      </w:r>
      <w:r w:rsidR="00C24D64" w:rsidRPr="00F3456C">
        <w:rPr>
          <w:lang w:val="uk-UA"/>
        </w:rPr>
        <w:t xml:space="preserve"> </w:t>
      </w:r>
    </w:p>
    <w:p w14:paraId="4D233AB5" w14:textId="71876AB8"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C24D64" w:rsidRPr="00C24D64">
        <w:rPr>
          <w:b/>
          <w:noProof/>
          <w:sz w:val="22"/>
          <w:szCs w:val="22"/>
          <w:lang w:val="uk-UA"/>
        </w:rPr>
        <w:t>№</w:t>
      </w:r>
      <w:r w:rsidR="00C24D64" w:rsidRPr="00C24D64">
        <w:rPr>
          <w:b/>
          <w:bCs/>
          <w:sz w:val="22"/>
          <w:szCs w:val="22"/>
          <w:lang w:val="uk-UA"/>
        </w:rPr>
        <w:t>1659ОК</w:t>
      </w:r>
      <w:r w:rsidR="00C24D64" w:rsidRPr="00C24D64">
        <w:rPr>
          <w:b/>
          <w:bCs/>
          <w:noProof/>
          <w:sz w:val="22"/>
          <w:szCs w:val="22"/>
          <w:lang w:val="uk-UA"/>
        </w:rPr>
        <w:t>.</w:t>
      </w:r>
      <w:r w:rsidR="00C24D64" w:rsidRPr="00AD7DCC">
        <w:rPr>
          <w:b/>
          <w:bCs/>
          <w:noProof/>
          <w:color w:val="FF0000"/>
          <w:sz w:val="22"/>
          <w:szCs w:val="22"/>
          <w:lang w:val="uk-UA"/>
        </w:rPr>
        <w:t xml:space="preserve"> НАЗВА УЧАСНИКА.</w:t>
      </w:r>
      <w:r w:rsidR="00C24D64" w:rsidRPr="00AD7DCC">
        <w:rPr>
          <w:noProof/>
          <w:color w:val="FF0000"/>
          <w:sz w:val="22"/>
          <w:szCs w:val="22"/>
          <w:lang w:val="uk-UA"/>
        </w:rPr>
        <w:t xml:space="preserve"> </w:t>
      </w:r>
      <w:r w:rsidR="00C24D64" w:rsidRPr="00C24D64">
        <w:rPr>
          <w:b/>
          <w:bCs/>
          <w:lang w:val="uk-UA"/>
        </w:rPr>
        <w:t>Послуги з аудиту за 2024-2026р.</w:t>
      </w:r>
      <w:r w:rsidRPr="00AD7DCC">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0"/>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0"/>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7" w:history="1">
        <w:r w:rsidRPr="00B22252">
          <w:rPr>
            <w:rStyle w:val="ac"/>
            <w:lang w:val="uk-UA"/>
          </w:rPr>
          <w:t xml:space="preserve">Інформаційна база – Товариство Червоного Хреста </w:t>
        </w:r>
        <w:r w:rsidRPr="00B22252">
          <w:rPr>
            <w:rStyle w:val="ac"/>
            <w:lang w:val="uk-UA"/>
          </w:rPr>
          <w:lastRenderedPageBreak/>
          <w:t>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696C17F5" w14:textId="77777777" w:rsidR="0039580B" w:rsidRDefault="0039580B" w:rsidP="0039580B">
      <w:pPr>
        <w:pStyle w:val="af0"/>
        <w:tabs>
          <w:tab w:val="left" w:pos="284"/>
          <w:tab w:val="left" w:pos="851"/>
        </w:tabs>
        <w:ind w:left="426"/>
        <w:contextualSpacing/>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567E15BD" w14:textId="77777777" w:rsidR="0041414C" w:rsidRPr="004034C4" w:rsidRDefault="0041414C" w:rsidP="0041414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4034C4">
        <w:rPr>
          <w:bCs/>
          <w:spacing w:val="-4"/>
          <w:sz w:val="22"/>
          <w:szCs w:val="22"/>
          <w:lang w:val="uk-UA"/>
        </w:rPr>
        <w:t xml:space="preserve">Замовник залишає за собою право обрати </w:t>
      </w:r>
      <w:r w:rsidRPr="004034C4">
        <w:rPr>
          <w:rStyle w:val="hps"/>
          <w:sz w:val="22"/>
          <w:szCs w:val="22"/>
          <w:lang w:val="uk-UA"/>
        </w:rPr>
        <w:t>декілька переможців, які відповідають технічним та кваліфікаційним вимогам.</w:t>
      </w:r>
    </w:p>
    <w:p w14:paraId="04B9E1A0" w14:textId="492B2664" w:rsidR="00D52CFF" w:rsidRPr="0010517A" w:rsidRDefault="00A6690A" w:rsidP="00FE107C">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4034C4">
        <w:rPr>
          <w:rStyle w:val="hps"/>
          <w:sz w:val="22"/>
          <w:szCs w:val="22"/>
          <w:lang w:val="uk-UA"/>
        </w:rPr>
        <w:t xml:space="preserve">Спочатку серед поданих </w:t>
      </w:r>
      <w:r w:rsidR="0085481F" w:rsidRPr="004034C4">
        <w:rPr>
          <w:sz w:val="22"/>
          <w:szCs w:val="22"/>
          <w:lang w:val="uk-UA"/>
        </w:rPr>
        <w:t>цінов</w:t>
      </w:r>
      <w:r w:rsidRPr="004034C4">
        <w:rPr>
          <w:rStyle w:val="hps"/>
          <w:sz w:val="22"/>
          <w:szCs w:val="22"/>
          <w:lang w:val="uk-UA"/>
        </w:rPr>
        <w:t>их</w:t>
      </w:r>
      <w:r w:rsidRPr="0010517A">
        <w:rPr>
          <w:rStyle w:val="hps"/>
          <w:sz w:val="22"/>
          <w:szCs w:val="22"/>
          <w:lang w:val="uk-UA"/>
        </w:rPr>
        <w:t xml:space="preserve"> пропозицій </w:t>
      </w:r>
      <w:r w:rsidRPr="0010517A">
        <w:rPr>
          <w:spacing w:val="-4"/>
          <w:sz w:val="22"/>
          <w:szCs w:val="22"/>
          <w:lang w:val="uk-UA"/>
        </w:rPr>
        <w:t xml:space="preserve">Тендерним комітетом </w:t>
      </w:r>
      <w:r w:rsidRPr="0010517A">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10517A">
        <w:rPr>
          <w:rStyle w:val="hps"/>
          <w:sz w:val="22"/>
          <w:szCs w:val="22"/>
          <w:lang w:val="uk-UA"/>
        </w:rPr>
        <w:t>Запиті</w:t>
      </w:r>
      <w:r w:rsidRPr="0010517A">
        <w:rPr>
          <w:rStyle w:val="hps"/>
          <w:sz w:val="22"/>
          <w:szCs w:val="22"/>
          <w:lang w:val="uk-UA"/>
        </w:rPr>
        <w:t>.</w:t>
      </w:r>
      <w:r w:rsidR="007325F2" w:rsidRPr="0010517A">
        <w:rPr>
          <w:rStyle w:val="hps"/>
          <w:sz w:val="22"/>
          <w:szCs w:val="22"/>
          <w:lang w:val="uk-UA"/>
        </w:rPr>
        <w:t xml:space="preserve"> </w:t>
      </w:r>
    </w:p>
    <w:p w14:paraId="5948DCD0" w14:textId="77777777" w:rsidR="008C7C5E" w:rsidRDefault="00A6690A" w:rsidP="00A6690A">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 </w:t>
      </w:r>
    </w:p>
    <w:p w14:paraId="4D58237A" w14:textId="4EAF4DD7" w:rsidR="00A6690A" w:rsidRPr="00AE1EF2" w:rsidRDefault="00117B03" w:rsidP="00117B03">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Pr="0085481F">
        <w:rPr>
          <w:b/>
          <w:spacing w:val="-4"/>
          <w:sz w:val="22"/>
          <w:szCs w:val="22"/>
          <w:lang w:val="uk-UA"/>
        </w:rPr>
        <w:t>цінов</w:t>
      </w:r>
      <w:r>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562"/>
        <w:gridCol w:w="5254"/>
        <w:gridCol w:w="1701"/>
      </w:tblGrid>
      <w:tr w:rsidR="00B36636" w:rsidRPr="004805DD" w14:paraId="0B94A0B9" w14:textId="77777777" w:rsidTr="008C3898">
        <w:tc>
          <w:tcPr>
            <w:tcW w:w="434" w:type="dxa"/>
            <w:vMerge w:val="restart"/>
            <w:shd w:val="clear" w:color="auto" w:fill="E7E6E6"/>
            <w:vAlign w:val="center"/>
          </w:tcPr>
          <w:p w14:paraId="4955E141"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3" w:name="_Hlk185516272"/>
            <w:r w:rsidRPr="004805DD">
              <w:rPr>
                <w:rFonts w:ascii="Times New Roman" w:eastAsia="Times New Roman" w:hAnsi="Times New Roman" w:cs="Times New Roman"/>
                <w:b/>
                <w:spacing w:val="-4"/>
                <w:sz w:val="22"/>
                <w:szCs w:val="22"/>
                <w:lang w:val="uk-UA"/>
              </w:rPr>
              <w:t>№</w:t>
            </w:r>
          </w:p>
        </w:tc>
        <w:tc>
          <w:tcPr>
            <w:tcW w:w="2562" w:type="dxa"/>
            <w:vMerge w:val="restart"/>
            <w:shd w:val="clear" w:color="auto" w:fill="E7E6E6"/>
            <w:vAlign w:val="center"/>
          </w:tcPr>
          <w:p w14:paraId="7EAF490F"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955" w:type="dxa"/>
            <w:gridSpan w:val="2"/>
            <w:shd w:val="clear" w:color="auto" w:fill="E7E6E6"/>
            <w:vAlign w:val="center"/>
          </w:tcPr>
          <w:p w14:paraId="2592CB79" w14:textId="0B8C6D1F"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8C3898">
        <w:tc>
          <w:tcPr>
            <w:tcW w:w="434" w:type="dxa"/>
            <w:vMerge/>
            <w:shd w:val="clear" w:color="auto" w:fill="E7E6E6"/>
            <w:vAlign w:val="center"/>
          </w:tcPr>
          <w:p w14:paraId="5FE6A2C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62" w:type="dxa"/>
            <w:vMerge/>
            <w:shd w:val="clear" w:color="auto" w:fill="E7E6E6"/>
            <w:vAlign w:val="center"/>
          </w:tcPr>
          <w:p w14:paraId="2DFFE11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254" w:type="dxa"/>
            <w:shd w:val="clear" w:color="auto" w:fill="E7E6E6"/>
            <w:vAlign w:val="center"/>
          </w:tcPr>
          <w:p w14:paraId="4C6B3B05"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701" w:type="dxa"/>
            <w:shd w:val="clear" w:color="auto" w:fill="E7E6E6"/>
            <w:vAlign w:val="center"/>
          </w:tcPr>
          <w:p w14:paraId="48C41ED6"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8C3898">
        <w:trPr>
          <w:trHeight w:val="77"/>
        </w:trPr>
        <w:tc>
          <w:tcPr>
            <w:tcW w:w="434" w:type="dxa"/>
            <w:shd w:val="clear" w:color="auto" w:fill="auto"/>
          </w:tcPr>
          <w:p w14:paraId="70E5D06A"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562" w:type="dxa"/>
            <w:shd w:val="clear" w:color="auto" w:fill="auto"/>
          </w:tcPr>
          <w:p w14:paraId="3B7962E7" w14:textId="77777777" w:rsidR="00B36636" w:rsidRPr="005658C8" w:rsidRDefault="00B36636"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Ціна пропозиції</w:t>
            </w:r>
          </w:p>
        </w:tc>
        <w:tc>
          <w:tcPr>
            <w:tcW w:w="6955" w:type="dxa"/>
            <w:gridSpan w:val="2"/>
            <w:shd w:val="clear" w:color="auto" w:fill="auto"/>
          </w:tcPr>
          <w:p w14:paraId="3AD3FD14" w14:textId="6E3E4FF5" w:rsidR="00B36636" w:rsidRPr="005658C8"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До </w:t>
            </w:r>
            <w:r w:rsidR="004034C4" w:rsidRPr="005658C8">
              <w:rPr>
                <w:rFonts w:ascii="Times New Roman" w:eastAsia="Times New Roman" w:hAnsi="Times New Roman" w:cs="Times New Roman"/>
                <w:bCs/>
                <w:spacing w:val="-4"/>
                <w:sz w:val="22"/>
                <w:szCs w:val="22"/>
                <w:lang w:val="uk-UA"/>
              </w:rPr>
              <w:t>6</w:t>
            </w:r>
            <w:r w:rsidRPr="005658C8">
              <w:rPr>
                <w:rFonts w:ascii="Times New Roman" w:eastAsia="Times New Roman" w:hAnsi="Times New Roman" w:cs="Times New Roman"/>
                <w:bCs/>
                <w:spacing w:val="-4"/>
                <w:sz w:val="22"/>
                <w:szCs w:val="22"/>
                <w:lang w:val="uk-UA"/>
              </w:rPr>
              <w:t>0</w:t>
            </w:r>
          </w:p>
        </w:tc>
      </w:tr>
      <w:tr w:rsidR="00B36636" w:rsidRPr="004805DD" w14:paraId="0B5D70A3" w14:textId="77777777" w:rsidTr="008C3898">
        <w:trPr>
          <w:trHeight w:val="450"/>
        </w:trPr>
        <w:tc>
          <w:tcPr>
            <w:tcW w:w="434" w:type="dxa"/>
            <w:shd w:val="clear" w:color="auto" w:fill="auto"/>
            <w:vAlign w:val="center"/>
          </w:tcPr>
          <w:p w14:paraId="3D468E5F"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562" w:type="dxa"/>
            <w:shd w:val="clear" w:color="auto" w:fill="auto"/>
            <w:vAlign w:val="center"/>
          </w:tcPr>
          <w:p w14:paraId="268CAD3D" w14:textId="358F6294" w:rsidR="00B54972" w:rsidRPr="005658C8" w:rsidRDefault="00B54972" w:rsidP="0041414C">
            <w:pPr>
              <w:pStyle w:val="ab"/>
              <w:spacing w:before="0" w:beforeAutospacing="0" w:after="0" w:afterAutospacing="0"/>
              <w:jc w:val="center"/>
              <w:rPr>
                <w:rFonts w:ascii="Times New Roman" w:eastAsia="Times New Roman" w:hAnsi="Times New Roman" w:cs="Times New Roman"/>
                <w:spacing w:val="-4"/>
                <w:sz w:val="22"/>
                <w:szCs w:val="22"/>
                <w:lang w:val="uk-UA"/>
              </w:rPr>
            </w:pPr>
            <w:r w:rsidRPr="005658C8">
              <w:rPr>
                <w:rFonts w:ascii="Times New Roman" w:eastAsia="Times New Roman" w:hAnsi="Times New Roman" w:cs="Times New Roman"/>
                <w:spacing w:val="-4"/>
                <w:sz w:val="22"/>
                <w:szCs w:val="22"/>
                <w:lang w:val="uk-UA"/>
              </w:rPr>
              <w:t>Наявність досвіду проведення зовнішньої незалежної фінансової аудиторської перевірки в неурядових некомерційних організаціях</w:t>
            </w:r>
          </w:p>
          <w:p w14:paraId="56D0AC80" w14:textId="7C4B4F3E" w:rsidR="00B36636" w:rsidRPr="005658C8" w:rsidRDefault="00B36636"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5254" w:type="dxa"/>
            <w:shd w:val="clear" w:color="auto" w:fill="auto"/>
            <w:vAlign w:val="center"/>
          </w:tcPr>
          <w:p w14:paraId="0C140615" w14:textId="5A7FA62F" w:rsidR="00DE0A8A" w:rsidRPr="005658C8" w:rsidRDefault="00DD3A5A"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Підтверджений досвід</w:t>
            </w:r>
            <w:r w:rsidR="00087F54" w:rsidRPr="005658C8">
              <w:rPr>
                <w:rFonts w:ascii="Times New Roman" w:eastAsia="Times New Roman" w:hAnsi="Times New Roman" w:cs="Times New Roman"/>
                <w:bCs/>
                <w:spacing w:val="-4"/>
                <w:sz w:val="22"/>
                <w:szCs w:val="22"/>
                <w:lang w:val="uk-UA"/>
              </w:rPr>
              <w:t xml:space="preserve"> проведення від</w:t>
            </w:r>
            <w:r w:rsidR="00E229A6" w:rsidRPr="005658C8">
              <w:rPr>
                <w:rFonts w:ascii="Times New Roman" w:eastAsia="Times New Roman" w:hAnsi="Times New Roman" w:cs="Times New Roman"/>
                <w:bCs/>
                <w:spacing w:val="-4"/>
                <w:sz w:val="22"/>
                <w:szCs w:val="22"/>
                <w:lang w:val="uk-UA"/>
              </w:rPr>
              <w:t xml:space="preserve"> 10 </w:t>
            </w:r>
            <w:r w:rsidR="00684BE6" w:rsidRPr="005658C8">
              <w:rPr>
                <w:rFonts w:ascii="Times New Roman" w:eastAsia="Times New Roman" w:hAnsi="Times New Roman" w:cs="Times New Roman"/>
                <w:bCs/>
                <w:spacing w:val="-4"/>
                <w:sz w:val="22"/>
                <w:szCs w:val="22"/>
                <w:lang w:val="uk-UA"/>
              </w:rPr>
              <w:t>і б</w:t>
            </w:r>
            <w:r w:rsidR="001B06EE" w:rsidRPr="005658C8">
              <w:rPr>
                <w:rFonts w:ascii="Times New Roman" w:eastAsia="Times New Roman" w:hAnsi="Times New Roman" w:cs="Times New Roman"/>
                <w:bCs/>
                <w:spacing w:val="-4"/>
                <w:sz w:val="22"/>
                <w:szCs w:val="22"/>
                <w:lang w:val="uk-UA"/>
              </w:rPr>
              <w:t xml:space="preserve">ільше </w:t>
            </w:r>
            <w:r w:rsidR="00E229A6" w:rsidRPr="005658C8">
              <w:rPr>
                <w:rFonts w:ascii="Times New Roman" w:eastAsia="Times New Roman" w:hAnsi="Times New Roman" w:cs="Times New Roman"/>
                <w:bCs/>
                <w:spacing w:val="-4"/>
                <w:sz w:val="22"/>
                <w:szCs w:val="22"/>
                <w:lang w:val="uk-UA"/>
              </w:rPr>
              <w:t>аудитів</w:t>
            </w:r>
          </w:p>
          <w:p w14:paraId="7F87FD4A" w14:textId="77777777" w:rsidR="00A24497" w:rsidRPr="005658C8" w:rsidRDefault="00DE0A8A"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i/>
                <w:iCs/>
                <w:spacing w:val="-4"/>
                <w:sz w:val="22"/>
                <w:szCs w:val="22"/>
                <w:lang w:val="uk-UA"/>
              </w:rPr>
              <w:t>(підтверджено договором, або листом-відгуком</w:t>
            </w:r>
            <w:r w:rsidR="004D77C7" w:rsidRPr="005658C8">
              <w:rPr>
                <w:rFonts w:ascii="Times New Roman" w:eastAsia="Times New Roman" w:hAnsi="Times New Roman" w:cs="Times New Roman"/>
                <w:bCs/>
                <w:i/>
                <w:iCs/>
                <w:spacing w:val="-4"/>
                <w:sz w:val="22"/>
                <w:szCs w:val="22"/>
                <w:lang w:val="uk-UA"/>
              </w:rPr>
              <w:t xml:space="preserve"> / </w:t>
            </w:r>
            <w:proofErr w:type="spellStart"/>
            <w:r w:rsidR="004D77C7" w:rsidRPr="005658C8">
              <w:rPr>
                <w:rFonts w:ascii="Times New Roman" w:eastAsia="Times New Roman" w:hAnsi="Times New Roman" w:cs="Times New Roman"/>
                <w:bCs/>
                <w:i/>
                <w:iCs/>
                <w:spacing w:val="-4"/>
                <w:sz w:val="22"/>
                <w:szCs w:val="22"/>
                <w:lang w:val="uk-UA"/>
              </w:rPr>
              <w:t>референс</w:t>
            </w:r>
            <w:proofErr w:type="spellEnd"/>
            <w:r w:rsidR="004D77C7" w:rsidRPr="005658C8">
              <w:rPr>
                <w:rFonts w:ascii="Times New Roman" w:eastAsia="Times New Roman" w:hAnsi="Times New Roman" w:cs="Times New Roman"/>
                <w:bCs/>
                <w:i/>
                <w:iCs/>
                <w:spacing w:val="-4"/>
                <w:sz w:val="22"/>
                <w:szCs w:val="22"/>
                <w:lang w:val="uk-UA"/>
              </w:rPr>
              <w:t xml:space="preserve">-листом </w:t>
            </w:r>
            <w:r w:rsidRPr="005658C8">
              <w:rPr>
                <w:rFonts w:ascii="Times New Roman" w:eastAsia="Times New Roman" w:hAnsi="Times New Roman" w:cs="Times New Roman"/>
                <w:bCs/>
                <w:i/>
                <w:iCs/>
                <w:spacing w:val="-4"/>
                <w:sz w:val="22"/>
                <w:szCs w:val="22"/>
                <w:lang w:val="uk-UA"/>
              </w:rPr>
              <w:t xml:space="preserve"> з контактними даними клієнтів</w:t>
            </w:r>
            <w:r w:rsidRPr="005658C8">
              <w:rPr>
                <w:rFonts w:ascii="Times New Roman" w:eastAsia="Times New Roman" w:hAnsi="Times New Roman" w:cs="Times New Roman"/>
                <w:bCs/>
                <w:spacing w:val="-4"/>
                <w:sz w:val="22"/>
                <w:szCs w:val="22"/>
                <w:lang w:val="uk-UA"/>
              </w:rPr>
              <w:t>)</w:t>
            </w:r>
            <w:r w:rsidR="001B06EE" w:rsidRPr="005658C8">
              <w:rPr>
                <w:rFonts w:ascii="Times New Roman" w:eastAsia="Times New Roman" w:hAnsi="Times New Roman" w:cs="Times New Roman"/>
                <w:bCs/>
                <w:spacing w:val="-4"/>
                <w:sz w:val="22"/>
                <w:szCs w:val="22"/>
                <w:lang w:val="uk-UA"/>
              </w:rPr>
              <w:t xml:space="preserve"> </w:t>
            </w:r>
          </w:p>
          <w:p w14:paraId="55C04C18" w14:textId="4B7AE779" w:rsidR="00087F54" w:rsidRPr="005658C8" w:rsidRDefault="001B06EE" w:rsidP="004034C4">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 xml:space="preserve">– </w:t>
            </w:r>
            <w:r w:rsidR="004034C4" w:rsidRPr="005658C8">
              <w:rPr>
                <w:rFonts w:ascii="Times New Roman" w:eastAsia="Times New Roman" w:hAnsi="Times New Roman" w:cs="Times New Roman"/>
                <w:b/>
                <w:spacing w:val="-4"/>
                <w:sz w:val="22"/>
                <w:szCs w:val="22"/>
                <w:u w:val="single"/>
                <w:lang w:val="uk-UA"/>
              </w:rPr>
              <w:t>4</w:t>
            </w:r>
            <w:r w:rsidRPr="005658C8">
              <w:rPr>
                <w:rFonts w:ascii="Times New Roman" w:eastAsia="Times New Roman" w:hAnsi="Times New Roman" w:cs="Times New Roman"/>
                <w:b/>
                <w:spacing w:val="-4"/>
                <w:sz w:val="22"/>
                <w:szCs w:val="22"/>
                <w:u w:val="single"/>
                <w:lang w:val="uk-UA"/>
              </w:rPr>
              <w:t>0 %</w:t>
            </w:r>
          </w:p>
          <w:p w14:paraId="4DC100A8" w14:textId="77777777" w:rsidR="00A24497" w:rsidRPr="005658C8" w:rsidRDefault="00DD3A5A"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Підтверджений досвід</w:t>
            </w:r>
            <w:r w:rsidR="00087F54" w:rsidRPr="005658C8">
              <w:rPr>
                <w:rFonts w:ascii="Times New Roman" w:eastAsia="Times New Roman" w:hAnsi="Times New Roman" w:cs="Times New Roman"/>
                <w:bCs/>
                <w:spacing w:val="-4"/>
                <w:sz w:val="22"/>
                <w:szCs w:val="22"/>
                <w:lang w:val="uk-UA"/>
              </w:rPr>
              <w:t xml:space="preserve"> проведення від </w:t>
            </w:r>
            <w:r w:rsidRPr="005658C8">
              <w:rPr>
                <w:rFonts w:ascii="Times New Roman" w:eastAsia="Times New Roman" w:hAnsi="Times New Roman" w:cs="Times New Roman"/>
                <w:bCs/>
                <w:spacing w:val="-4"/>
                <w:sz w:val="22"/>
                <w:szCs w:val="22"/>
                <w:lang w:val="uk-UA"/>
              </w:rPr>
              <w:t>5</w:t>
            </w:r>
            <w:r w:rsidR="00087F54" w:rsidRPr="005658C8">
              <w:rPr>
                <w:rFonts w:ascii="Times New Roman" w:eastAsia="Times New Roman" w:hAnsi="Times New Roman" w:cs="Times New Roman"/>
                <w:bCs/>
                <w:spacing w:val="-4"/>
                <w:sz w:val="22"/>
                <w:szCs w:val="22"/>
                <w:lang w:val="uk-UA"/>
              </w:rPr>
              <w:t xml:space="preserve"> </w:t>
            </w:r>
            <w:r w:rsidRPr="005658C8">
              <w:rPr>
                <w:rFonts w:ascii="Times New Roman" w:eastAsia="Times New Roman" w:hAnsi="Times New Roman" w:cs="Times New Roman"/>
                <w:bCs/>
                <w:spacing w:val="-4"/>
                <w:sz w:val="22"/>
                <w:szCs w:val="22"/>
                <w:lang w:val="uk-UA"/>
              </w:rPr>
              <w:t>до</w:t>
            </w:r>
            <w:r w:rsidR="00087F54" w:rsidRPr="005658C8">
              <w:rPr>
                <w:rFonts w:ascii="Times New Roman" w:eastAsia="Times New Roman" w:hAnsi="Times New Roman" w:cs="Times New Roman"/>
                <w:bCs/>
                <w:spacing w:val="-4"/>
                <w:sz w:val="22"/>
                <w:szCs w:val="22"/>
                <w:lang w:val="uk-UA"/>
              </w:rPr>
              <w:t xml:space="preserve"> </w:t>
            </w:r>
            <w:r w:rsidRPr="005658C8">
              <w:rPr>
                <w:rFonts w:ascii="Times New Roman" w:eastAsia="Times New Roman" w:hAnsi="Times New Roman" w:cs="Times New Roman"/>
                <w:bCs/>
                <w:spacing w:val="-4"/>
                <w:sz w:val="22"/>
                <w:szCs w:val="22"/>
                <w:lang w:val="uk-UA"/>
              </w:rPr>
              <w:t xml:space="preserve">10 аудитів </w:t>
            </w:r>
            <w:r w:rsidR="00087F54" w:rsidRPr="005658C8">
              <w:rPr>
                <w:rFonts w:ascii="Times New Roman" w:eastAsia="Times New Roman" w:hAnsi="Times New Roman" w:cs="Times New Roman"/>
                <w:bCs/>
                <w:spacing w:val="-4"/>
                <w:sz w:val="22"/>
                <w:szCs w:val="22"/>
                <w:lang w:val="uk-UA"/>
              </w:rPr>
              <w:t xml:space="preserve"> </w:t>
            </w:r>
          </w:p>
          <w:p w14:paraId="327BF481" w14:textId="02008289" w:rsidR="00B36636" w:rsidRPr="005658C8" w:rsidRDefault="00087F54"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 </w:t>
            </w:r>
            <w:r w:rsidR="004034C4" w:rsidRPr="005658C8">
              <w:rPr>
                <w:rFonts w:ascii="Times New Roman" w:eastAsia="Times New Roman" w:hAnsi="Times New Roman" w:cs="Times New Roman"/>
                <w:b/>
                <w:spacing w:val="-4"/>
                <w:sz w:val="22"/>
                <w:szCs w:val="22"/>
                <w:u w:val="single"/>
                <w:lang w:val="uk-UA"/>
              </w:rPr>
              <w:t>2</w:t>
            </w:r>
            <w:r w:rsidR="0037488D" w:rsidRPr="005658C8">
              <w:rPr>
                <w:rFonts w:ascii="Times New Roman" w:eastAsia="Times New Roman" w:hAnsi="Times New Roman" w:cs="Times New Roman"/>
                <w:b/>
                <w:spacing w:val="-4"/>
                <w:sz w:val="22"/>
                <w:szCs w:val="22"/>
                <w:u w:val="single"/>
                <w:lang w:val="uk-UA"/>
              </w:rPr>
              <w:t>0</w:t>
            </w:r>
            <w:r w:rsidR="00DD3A5A" w:rsidRPr="005658C8">
              <w:rPr>
                <w:rFonts w:ascii="Times New Roman" w:eastAsia="Times New Roman" w:hAnsi="Times New Roman" w:cs="Times New Roman"/>
                <w:b/>
                <w:spacing w:val="-4"/>
                <w:sz w:val="22"/>
                <w:szCs w:val="22"/>
                <w:u w:val="single"/>
                <w:lang w:val="uk-UA"/>
              </w:rPr>
              <w:t xml:space="preserve"> %</w:t>
            </w:r>
          </w:p>
          <w:p w14:paraId="276B3F2D" w14:textId="2CEAB077" w:rsidR="00A24497" w:rsidRPr="005658C8" w:rsidRDefault="009C6970"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досвід проведення </w:t>
            </w:r>
            <w:r w:rsidR="004034C4" w:rsidRPr="005658C8">
              <w:rPr>
                <w:rFonts w:ascii="Times New Roman" w:eastAsia="Times New Roman" w:hAnsi="Times New Roman" w:cs="Times New Roman"/>
                <w:bCs/>
                <w:spacing w:val="-4"/>
                <w:sz w:val="22"/>
                <w:szCs w:val="22"/>
                <w:lang w:val="uk-UA"/>
              </w:rPr>
              <w:t>від 1 до</w:t>
            </w:r>
            <w:r w:rsidRPr="005658C8">
              <w:rPr>
                <w:rFonts w:ascii="Times New Roman" w:eastAsia="Times New Roman" w:hAnsi="Times New Roman" w:cs="Times New Roman"/>
                <w:bCs/>
                <w:spacing w:val="-4"/>
                <w:sz w:val="22"/>
                <w:szCs w:val="22"/>
                <w:lang w:val="uk-UA"/>
              </w:rPr>
              <w:t xml:space="preserve"> 5 аудитів  </w:t>
            </w:r>
          </w:p>
          <w:p w14:paraId="57B191C2" w14:textId="77777777" w:rsidR="009C6970" w:rsidRPr="005658C8" w:rsidRDefault="009C6970" w:rsidP="0041414C">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
                <w:spacing w:val="-4"/>
                <w:sz w:val="22"/>
                <w:szCs w:val="22"/>
                <w:u w:val="single"/>
                <w:lang w:val="uk-UA"/>
              </w:rPr>
              <w:t xml:space="preserve">– </w:t>
            </w:r>
            <w:r w:rsidR="004034C4" w:rsidRPr="005658C8">
              <w:rPr>
                <w:rFonts w:ascii="Times New Roman" w:eastAsia="Times New Roman" w:hAnsi="Times New Roman" w:cs="Times New Roman"/>
                <w:b/>
                <w:spacing w:val="-4"/>
                <w:sz w:val="22"/>
                <w:szCs w:val="22"/>
                <w:u w:val="single"/>
                <w:lang w:val="uk-UA"/>
              </w:rPr>
              <w:t>1</w:t>
            </w:r>
            <w:r w:rsidRPr="005658C8">
              <w:rPr>
                <w:rFonts w:ascii="Times New Roman" w:eastAsia="Times New Roman" w:hAnsi="Times New Roman" w:cs="Times New Roman"/>
                <w:b/>
                <w:spacing w:val="-4"/>
                <w:sz w:val="22"/>
                <w:szCs w:val="22"/>
                <w:u w:val="single"/>
                <w:lang w:val="uk-UA"/>
              </w:rPr>
              <w:t>0 %</w:t>
            </w:r>
          </w:p>
          <w:p w14:paraId="0B162224" w14:textId="7F45F25F" w:rsidR="004034C4" w:rsidRPr="005658C8" w:rsidRDefault="004034C4" w:rsidP="0041414C">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Відсутнє підтвердження</w:t>
            </w:r>
            <w:r w:rsidR="003F6114" w:rsidRPr="005658C8">
              <w:rPr>
                <w:rFonts w:ascii="Times New Roman" w:eastAsia="Times New Roman" w:hAnsi="Times New Roman" w:cs="Times New Roman"/>
                <w:bCs/>
                <w:spacing w:val="-4"/>
                <w:sz w:val="22"/>
                <w:szCs w:val="22"/>
                <w:lang w:val="uk-UA"/>
              </w:rPr>
              <w:t xml:space="preserve"> </w:t>
            </w:r>
            <w:r w:rsidRPr="005658C8">
              <w:rPr>
                <w:rFonts w:ascii="Times New Roman" w:eastAsia="Times New Roman" w:hAnsi="Times New Roman" w:cs="Times New Roman"/>
                <w:bCs/>
                <w:spacing w:val="-4"/>
                <w:sz w:val="22"/>
                <w:szCs w:val="22"/>
                <w:lang w:val="uk-UA"/>
              </w:rPr>
              <w:t>досвід</w:t>
            </w:r>
            <w:r w:rsidR="003F6114" w:rsidRPr="005658C8">
              <w:rPr>
                <w:rFonts w:ascii="Times New Roman" w:eastAsia="Times New Roman" w:hAnsi="Times New Roman" w:cs="Times New Roman"/>
                <w:bCs/>
                <w:spacing w:val="-4"/>
                <w:sz w:val="22"/>
                <w:szCs w:val="22"/>
                <w:lang w:val="uk-UA"/>
              </w:rPr>
              <w:t>у</w:t>
            </w:r>
            <w:r w:rsidRPr="005658C8">
              <w:rPr>
                <w:rFonts w:ascii="Times New Roman" w:eastAsia="Times New Roman" w:hAnsi="Times New Roman" w:cs="Times New Roman"/>
                <w:bCs/>
                <w:spacing w:val="-4"/>
                <w:sz w:val="22"/>
                <w:szCs w:val="22"/>
                <w:lang w:val="uk-UA"/>
              </w:rPr>
              <w:t xml:space="preserve"> проведення аудитів </w:t>
            </w:r>
            <w:r w:rsidRPr="005658C8">
              <w:rPr>
                <w:rFonts w:ascii="Times New Roman" w:eastAsia="Times New Roman" w:hAnsi="Times New Roman" w:cs="Times New Roman"/>
                <w:spacing w:val="-4"/>
                <w:sz w:val="22"/>
                <w:szCs w:val="22"/>
                <w:lang w:val="uk-UA"/>
              </w:rPr>
              <w:t>в неурядових некомерційних організаціях</w:t>
            </w:r>
            <w:r w:rsidRPr="005658C8">
              <w:rPr>
                <w:rFonts w:ascii="Times New Roman" w:eastAsia="Times New Roman" w:hAnsi="Times New Roman" w:cs="Times New Roman"/>
                <w:spacing w:val="-4"/>
                <w:sz w:val="22"/>
                <w:szCs w:val="22"/>
                <w:lang w:val="uk-UA"/>
              </w:rPr>
              <w:br/>
              <w:t xml:space="preserve"> </w:t>
            </w:r>
            <w:r w:rsidRPr="005658C8">
              <w:rPr>
                <w:rFonts w:ascii="Times New Roman" w:eastAsia="Times New Roman" w:hAnsi="Times New Roman" w:cs="Times New Roman"/>
                <w:b/>
                <w:bCs/>
                <w:spacing w:val="-4"/>
                <w:sz w:val="22"/>
                <w:szCs w:val="22"/>
                <w:u w:val="single"/>
                <w:lang w:val="uk-UA"/>
              </w:rPr>
              <w:t>– 0%</w:t>
            </w:r>
          </w:p>
        </w:tc>
        <w:tc>
          <w:tcPr>
            <w:tcW w:w="1701" w:type="dxa"/>
            <w:shd w:val="clear" w:color="auto" w:fill="auto"/>
            <w:vAlign w:val="center"/>
          </w:tcPr>
          <w:p w14:paraId="6B287D57" w14:textId="118551C8" w:rsidR="00B36636" w:rsidRPr="00720A7E" w:rsidRDefault="004034C4"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w:t>
            </w:r>
            <w:r w:rsidR="00087F54" w:rsidRPr="00720A7E">
              <w:rPr>
                <w:rFonts w:ascii="Times New Roman" w:eastAsia="Times New Roman" w:hAnsi="Times New Roman" w:cs="Times New Roman"/>
                <w:bCs/>
                <w:spacing w:val="-4"/>
                <w:sz w:val="22"/>
                <w:szCs w:val="22"/>
                <w:lang w:val="uk-UA"/>
              </w:rPr>
              <w:t>0</w:t>
            </w:r>
            <w:r w:rsidR="00693158" w:rsidRPr="00720A7E">
              <w:rPr>
                <w:rFonts w:ascii="Times New Roman" w:eastAsia="Times New Roman" w:hAnsi="Times New Roman" w:cs="Times New Roman"/>
                <w:bCs/>
                <w:spacing w:val="-4"/>
                <w:sz w:val="22"/>
                <w:szCs w:val="22"/>
                <w:lang w:val="uk-UA"/>
              </w:rPr>
              <w:t xml:space="preserve"> %</w:t>
            </w:r>
          </w:p>
        </w:tc>
      </w:tr>
      <w:tr w:rsidR="00B36636" w:rsidRPr="004805DD" w14:paraId="044061FB" w14:textId="77777777" w:rsidTr="008C3898">
        <w:tc>
          <w:tcPr>
            <w:tcW w:w="8250" w:type="dxa"/>
            <w:gridSpan w:val="3"/>
            <w:shd w:val="clear" w:color="auto" w:fill="D0CECE"/>
          </w:tcPr>
          <w:p w14:paraId="52D6B0D7" w14:textId="77777777" w:rsidR="00B36636" w:rsidRPr="004805DD" w:rsidRDefault="00B36636" w:rsidP="00947CCF">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701" w:type="dxa"/>
            <w:shd w:val="clear" w:color="auto" w:fill="D0CECE"/>
          </w:tcPr>
          <w:p w14:paraId="114AF908" w14:textId="5D204795"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sidR="00AD4E31">
              <w:rPr>
                <w:rFonts w:ascii="Times New Roman" w:eastAsia="Times New Roman" w:hAnsi="Times New Roman" w:cs="Times New Roman"/>
                <w:b/>
                <w:spacing w:val="-4"/>
                <w:sz w:val="22"/>
                <w:szCs w:val="22"/>
                <w:lang w:val="uk-UA"/>
              </w:rPr>
              <w:t xml:space="preserve"> %</w:t>
            </w:r>
          </w:p>
        </w:tc>
      </w:tr>
      <w:bookmarkEnd w:id="3"/>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75700917"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bookmarkStart w:id="4" w:name="_Hlk185516364"/>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bookmarkEnd w:id="4"/>
    </w:p>
    <w:p w14:paraId="122D602E" w14:textId="1EC0A5D4" w:rsidR="004C2787" w:rsidRPr="00557A29" w:rsidRDefault="004C2787" w:rsidP="007C501A">
      <w:pPr>
        <w:ind w:firstLine="357"/>
        <w:jc w:val="both"/>
        <w:rPr>
          <w:spacing w:val="-4"/>
          <w:sz w:val="22"/>
          <w:szCs w:val="22"/>
          <w:lang w:val="uk-UA"/>
        </w:rPr>
      </w:pPr>
      <w:bookmarkStart w:id="5" w:name="_Hlk185516378"/>
      <w:r w:rsidRPr="00A3721F">
        <w:rPr>
          <w:spacing w:val="-4"/>
          <w:sz w:val="22"/>
          <w:szCs w:val="22"/>
          <w:lang w:val="uk-UA"/>
        </w:rPr>
        <w:t xml:space="preserve">Замовник </w:t>
      </w:r>
      <w:r w:rsidRPr="005658C8">
        <w:rPr>
          <w:spacing w:val="-4"/>
          <w:sz w:val="22"/>
          <w:szCs w:val="22"/>
          <w:lang w:val="uk-UA"/>
        </w:rPr>
        <w:t xml:space="preserve">укладає </w:t>
      </w:r>
      <w:r w:rsidR="004034C4" w:rsidRPr="005658C8">
        <w:rPr>
          <w:spacing w:val="-4"/>
          <w:sz w:val="22"/>
          <w:szCs w:val="22"/>
          <w:lang w:val="uk-UA"/>
        </w:rPr>
        <w:t>Рамковий договір</w:t>
      </w:r>
      <w:r w:rsidRPr="005658C8">
        <w:rPr>
          <w:spacing w:val="-4"/>
          <w:sz w:val="22"/>
          <w:szCs w:val="22"/>
          <w:lang w:val="uk-UA"/>
        </w:rPr>
        <w:t xml:space="preserve"> про закупівлю з </w:t>
      </w:r>
      <w:r w:rsidR="0050360D" w:rsidRPr="005658C8">
        <w:rPr>
          <w:spacing w:val="-4"/>
          <w:sz w:val="22"/>
          <w:szCs w:val="22"/>
          <w:lang w:val="uk-UA"/>
        </w:rPr>
        <w:t>У</w:t>
      </w:r>
      <w:r w:rsidRPr="005658C8">
        <w:rPr>
          <w:spacing w:val="-4"/>
          <w:sz w:val="22"/>
          <w:szCs w:val="22"/>
          <w:lang w:val="uk-UA"/>
        </w:rPr>
        <w:t>часником</w:t>
      </w:r>
      <w:bookmarkEnd w:id="5"/>
      <w:r w:rsidRPr="005658C8">
        <w:rPr>
          <w:spacing w:val="-4"/>
          <w:sz w:val="22"/>
          <w:szCs w:val="22"/>
          <w:lang w:val="uk-UA"/>
        </w:rPr>
        <w:t>, який визнаний переможцем, протягом строку дії його пропозиції, не пізніше ніж через</w:t>
      </w:r>
      <w:r w:rsidRPr="00A3721F">
        <w:rPr>
          <w:spacing w:val="-4"/>
          <w:sz w:val="22"/>
          <w:szCs w:val="22"/>
          <w:lang w:val="uk-UA"/>
        </w:rPr>
        <w:t xml:space="preserve">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1265A84F" w:rsidR="00CE4346" w:rsidRDefault="004C2787" w:rsidP="0099701E">
      <w:pPr>
        <w:pStyle w:val="af6"/>
        <w:ind w:firstLine="357"/>
        <w:rPr>
          <w:i/>
          <w:sz w:val="22"/>
          <w:szCs w:val="22"/>
          <w:lang w:val="uk-UA"/>
        </w:rPr>
      </w:pPr>
      <w:r w:rsidRPr="00E732E1">
        <w:rPr>
          <w:i/>
          <w:sz w:val="22"/>
          <w:szCs w:val="22"/>
          <w:lang w:val="uk-UA"/>
        </w:rPr>
        <w:t>Голова тендерного комітету</w:t>
      </w:r>
      <w:r w:rsidRPr="00E732E1">
        <w:rPr>
          <w:i/>
          <w:sz w:val="22"/>
          <w:szCs w:val="22"/>
          <w:lang w:val="uk-UA"/>
        </w:rPr>
        <w:tab/>
      </w:r>
      <w:r w:rsidRPr="00E732E1">
        <w:rPr>
          <w:i/>
          <w:sz w:val="22"/>
          <w:szCs w:val="22"/>
          <w:lang w:val="uk-UA"/>
        </w:rPr>
        <w:tab/>
      </w:r>
      <w:r w:rsidR="009E6AC7" w:rsidRPr="00E732E1">
        <w:rPr>
          <w:i/>
          <w:sz w:val="22"/>
          <w:szCs w:val="22"/>
          <w:lang w:val="uk-UA"/>
        </w:rPr>
        <w:t xml:space="preserve">         </w:t>
      </w:r>
      <w:r w:rsidRPr="00E732E1">
        <w:rPr>
          <w:i/>
          <w:sz w:val="22"/>
          <w:szCs w:val="22"/>
          <w:lang w:val="uk-UA"/>
        </w:rPr>
        <w:tab/>
      </w:r>
      <w:r w:rsidR="00CC7D16" w:rsidRPr="00E732E1">
        <w:rPr>
          <w:i/>
          <w:sz w:val="22"/>
          <w:szCs w:val="22"/>
          <w:lang w:val="uk-UA"/>
        </w:rPr>
        <w:t xml:space="preserve">____________ </w:t>
      </w:r>
      <w:r w:rsidR="00B16BB6" w:rsidRPr="00E732E1">
        <w:rPr>
          <w:i/>
          <w:sz w:val="22"/>
          <w:szCs w:val="22"/>
          <w:lang w:val="uk-UA"/>
        </w:rPr>
        <w:t xml:space="preserve">                          </w:t>
      </w:r>
      <w:r w:rsidR="00E732E1" w:rsidRPr="00E732E1">
        <w:rPr>
          <w:i/>
          <w:sz w:val="22"/>
          <w:szCs w:val="22"/>
          <w:lang w:val="uk-UA"/>
        </w:rPr>
        <w:t>Р.І. Ошовська</w:t>
      </w:r>
    </w:p>
    <w:p w14:paraId="6AA2CB22" w14:textId="59CB2215" w:rsidR="000B129C" w:rsidRPr="00557A29" w:rsidRDefault="00C33DF7" w:rsidP="000B129C">
      <w:pPr>
        <w:ind w:left="6804" w:hanging="7088"/>
        <w:jc w:val="right"/>
        <w:rPr>
          <w:sz w:val="22"/>
          <w:szCs w:val="22"/>
          <w:lang w:val="uk-UA"/>
        </w:rPr>
      </w:pPr>
      <w:bookmarkStart w:id="6"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66C8F9CE" w14:textId="0641293B"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6"/>
      <w:r w:rsidR="00164CFA">
        <w:rPr>
          <w:spacing w:val="-4"/>
          <w:sz w:val="22"/>
          <w:szCs w:val="22"/>
          <w:lang w:val="uk-UA"/>
        </w:rPr>
        <w:t>послуг фінансового аудиту</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Default="00C67C6D" w:rsidP="000B129C">
      <w:pPr>
        <w:rPr>
          <w:b/>
          <w:sz w:val="22"/>
          <w:szCs w:val="22"/>
          <w:lang w:val="uk-UA"/>
        </w:rPr>
      </w:pPr>
    </w:p>
    <w:p w14:paraId="7CE1D47D" w14:textId="77777777" w:rsidR="00BB1DA8" w:rsidRDefault="00BB1DA8" w:rsidP="000B129C">
      <w:pPr>
        <w:rPr>
          <w:b/>
          <w:sz w:val="22"/>
          <w:szCs w:val="22"/>
          <w:lang w:val="uk-UA"/>
        </w:rPr>
      </w:pPr>
    </w:p>
    <w:p w14:paraId="1D71C519" w14:textId="77777777" w:rsidR="00BB1DA8" w:rsidRDefault="00BB1DA8" w:rsidP="000B129C">
      <w:pPr>
        <w:rPr>
          <w:b/>
          <w:sz w:val="22"/>
          <w:szCs w:val="22"/>
          <w:lang w:val="uk-UA"/>
        </w:rPr>
      </w:pPr>
    </w:p>
    <w:p w14:paraId="78425CD3" w14:textId="77777777" w:rsidR="00BB1DA8" w:rsidRDefault="00BB1DA8" w:rsidP="000B129C">
      <w:pPr>
        <w:rPr>
          <w:b/>
          <w:sz w:val="22"/>
          <w:szCs w:val="22"/>
          <w:lang w:val="uk-UA"/>
        </w:rPr>
      </w:pPr>
    </w:p>
    <w:p w14:paraId="28B1FBBD" w14:textId="77777777" w:rsidR="00BB1DA8" w:rsidRDefault="00BB1DA8" w:rsidP="000B129C">
      <w:pPr>
        <w:rPr>
          <w:b/>
          <w:sz w:val="22"/>
          <w:szCs w:val="22"/>
          <w:lang w:val="uk-UA"/>
        </w:rPr>
      </w:pPr>
    </w:p>
    <w:p w14:paraId="302F22C6" w14:textId="77777777" w:rsidR="00BB1DA8" w:rsidRDefault="00BB1DA8" w:rsidP="000B129C">
      <w:pPr>
        <w:rPr>
          <w:b/>
          <w:sz w:val="22"/>
          <w:szCs w:val="22"/>
          <w:lang w:val="uk-UA"/>
        </w:rPr>
      </w:pPr>
    </w:p>
    <w:p w14:paraId="47990432" w14:textId="77777777" w:rsidR="00BB1DA8" w:rsidRDefault="00BB1DA8" w:rsidP="000B129C">
      <w:pPr>
        <w:rPr>
          <w:b/>
          <w:sz w:val="22"/>
          <w:szCs w:val="22"/>
          <w:lang w:val="uk-UA"/>
        </w:rPr>
      </w:pPr>
    </w:p>
    <w:p w14:paraId="231762D6" w14:textId="77777777" w:rsidR="00BB1DA8" w:rsidRDefault="00BB1DA8" w:rsidP="000B129C">
      <w:pPr>
        <w:rPr>
          <w:b/>
          <w:sz w:val="22"/>
          <w:szCs w:val="22"/>
          <w:lang w:val="uk-UA"/>
        </w:rPr>
      </w:pPr>
    </w:p>
    <w:p w14:paraId="1254AA97" w14:textId="77777777" w:rsidR="00BB1DA8" w:rsidRDefault="00BB1DA8" w:rsidP="000B129C">
      <w:pPr>
        <w:rPr>
          <w:b/>
          <w:sz w:val="22"/>
          <w:szCs w:val="22"/>
          <w:lang w:val="uk-UA"/>
        </w:rPr>
      </w:pPr>
    </w:p>
    <w:p w14:paraId="73D2507C" w14:textId="77777777" w:rsidR="00BB1DA8" w:rsidRDefault="00BB1DA8" w:rsidP="000B129C">
      <w:pPr>
        <w:rPr>
          <w:b/>
          <w:sz w:val="22"/>
          <w:szCs w:val="22"/>
          <w:lang w:val="uk-UA"/>
        </w:rPr>
      </w:pPr>
    </w:p>
    <w:p w14:paraId="7BD00BE7" w14:textId="77777777" w:rsidR="00BB1DA8" w:rsidRPr="00BB1DA8" w:rsidRDefault="00BB1DA8" w:rsidP="00BB1DA8">
      <w:pPr>
        <w:ind w:right="501"/>
        <w:jc w:val="right"/>
        <w:rPr>
          <w:b/>
          <w:bCs/>
          <w:lang w:val="uk-UA"/>
        </w:rPr>
      </w:pPr>
      <w:r w:rsidRPr="00BB1DA8">
        <w:rPr>
          <w:b/>
          <w:bCs/>
          <w:lang w:val="uk-UA"/>
        </w:rPr>
        <w:lastRenderedPageBreak/>
        <w:t>Додаток 2 до Запиту</w:t>
      </w:r>
    </w:p>
    <w:p w14:paraId="3CE3385D" w14:textId="77777777" w:rsidR="00727FEC" w:rsidRPr="00727FEC" w:rsidRDefault="00727FEC" w:rsidP="00727FEC">
      <w:pPr>
        <w:ind w:right="501"/>
        <w:jc w:val="right"/>
        <w:rPr>
          <w:spacing w:val="-4"/>
          <w:sz w:val="22"/>
          <w:szCs w:val="22"/>
          <w:lang w:val="uk-UA"/>
        </w:rPr>
      </w:pPr>
      <w:r w:rsidRPr="00727FEC">
        <w:rPr>
          <w:sz w:val="22"/>
          <w:szCs w:val="22"/>
          <w:lang w:val="uk-UA"/>
        </w:rPr>
        <w:t xml:space="preserve">на закупівлю </w:t>
      </w:r>
      <w:r w:rsidRPr="00727FEC">
        <w:rPr>
          <w:spacing w:val="-4"/>
          <w:sz w:val="22"/>
          <w:szCs w:val="22"/>
          <w:lang w:val="uk-UA"/>
        </w:rPr>
        <w:t xml:space="preserve">послуг </w:t>
      </w:r>
    </w:p>
    <w:p w14:paraId="7765982C" w14:textId="41D5A9E3" w:rsidR="00BB1DA8" w:rsidRPr="00727FEC" w:rsidRDefault="00727FEC" w:rsidP="00727FEC">
      <w:pPr>
        <w:ind w:right="501"/>
        <w:jc w:val="right"/>
        <w:rPr>
          <w:b/>
          <w:bCs/>
          <w:lang w:val="uk-UA"/>
        </w:rPr>
      </w:pPr>
      <w:r w:rsidRPr="00727FEC">
        <w:rPr>
          <w:spacing w:val="-4"/>
          <w:sz w:val="22"/>
          <w:szCs w:val="22"/>
          <w:lang w:val="uk-UA"/>
        </w:rPr>
        <w:t>фінансового аудиту</w:t>
      </w:r>
    </w:p>
    <w:p w14:paraId="0F8BC88C" w14:textId="77777777" w:rsidR="00BB1DA8" w:rsidRPr="00BB1DA8" w:rsidRDefault="00BB1DA8" w:rsidP="00BB1DA8">
      <w:pPr>
        <w:ind w:right="501"/>
        <w:jc w:val="right"/>
        <w:rPr>
          <w:b/>
          <w:bCs/>
          <w:lang w:val="uk-UA"/>
        </w:rPr>
      </w:pPr>
    </w:p>
    <w:p w14:paraId="00996061" w14:textId="77777777" w:rsidR="00BB1DA8" w:rsidRPr="00BB1DA8" w:rsidRDefault="00BB1DA8" w:rsidP="00BB1DA8">
      <w:pPr>
        <w:tabs>
          <w:tab w:val="left" w:pos="0"/>
          <w:tab w:val="center" w:pos="9072"/>
        </w:tabs>
        <w:spacing w:line="290" w:lineRule="exact"/>
        <w:jc w:val="center"/>
        <w:outlineLvl w:val="0"/>
        <w:rPr>
          <w:b/>
          <w:noProof/>
          <w:color w:val="000000"/>
          <w:lang w:val="uk-UA" w:eastAsia="de-DE"/>
        </w:rPr>
      </w:pPr>
      <w:r w:rsidRPr="00BB1DA8">
        <w:rPr>
          <w:b/>
          <w:noProof/>
          <w:color w:val="000000"/>
          <w:lang w:val="uk-UA" w:eastAsia="de-DE"/>
        </w:rPr>
        <w:t>ТЕХНІЧНЕ ЗАВДАННЯ</w:t>
      </w:r>
    </w:p>
    <w:p w14:paraId="17132196" w14:textId="77777777" w:rsidR="00BB1DA8" w:rsidRPr="00BB1DA8" w:rsidRDefault="00BB1DA8" w:rsidP="00BB1DA8">
      <w:pPr>
        <w:tabs>
          <w:tab w:val="left" w:pos="0"/>
          <w:tab w:val="center" w:pos="9072"/>
        </w:tabs>
        <w:spacing w:line="290" w:lineRule="exact"/>
        <w:jc w:val="center"/>
        <w:outlineLvl w:val="0"/>
        <w:rPr>
          <w:b/>
          <w:noProof/>
          <w:color w:val="000000"/>
          <w:lang w:val="uk-UA" w:eastAsia="de-DE"/>
        </w:rPr>
      </w:pPr>
    </w:p>
    <w:p w14:paraId="53FC41BF" w14:textId="56CB79B3" w:rsidR="00BB1DA8" w:rsidRPr="00BB1DA8" w:rsidRDefault="00BB1DA8" w:rsidP="00BB1DA8">
      <w:pPr>
        <w:ind w:right="501"/>
        <w:jc w:val="center"/>
        <w:rPr>
          <w:b/>
          <w:bCs/>
          <w:lang w:val="uk-UA"/>
        </w:rPr>
      </w:pPr>
      <w:r w:rsidRPr="00BB1DA8">
        <w:rPr>
          <w:rFonts w:eastAsia="MS Mincho"/>
          <w:b/>
          <w:bCs/>
          <w:lang w:val="uk-UA"/>
        </w:rPr>
        <w:t>Перевірк</w:t>
      </w:r>
      <w:r>
        <w:rPr>
          <w:rFonts w:eastAsia="MS Mincho"/>
          <w:b/>
          <w:bCs/>
          <w:lang w:val="uk-UA"/>
        </w:rPr>
        <w:t>а</w:t>
      </w:r>
      <w:r w:rsidRPr="00BB1DA8">
        <w:rPr>
          <w:rFonts w:eastAsia="MS Mincho"/>
          <w:b/>
          <w:bCs/>
          <w:lang w:val="uk-UA"/>
        </w:rPr>
        <w:t xml:space="preserve"> річної фінансової звітності за 2024, 2025 та 2026 роки</w:t>
      </w:r>
    </w:p>
    <w:p w14:paraId="0F7321F5" w14:textId="77777777" w:rsidR="00BB1DA8" w:rsidRPr="00BB1DA8" w:rsidRDefault="00BB1DA8" w:rsidP="00BB1DA8">
      <w:pPr>
        <w:shd w:val="clear" w:color="auto" w:fill="FFFFFF"/>
        <w:tabs>
          <w:tab w:val="left" w:pos="360"/>
        </w:tabs>
        <w:spacing w:before="289"/>
        <w:rPr>
          <w:lang w:val="uk-UA"/>
        </w:rPr>
      </w:pPr>
      <w:r w:rsidRPr="00BB1DA8">
        <w:rPr>
          <w:color w:val="000000"/>
          <w:lang w:val="uk-UA"/>
        </w:rPr>
        <w:tab/>
      </w:r>
      <w:r w:rsidRPr="00BB1DA8">
        <w:rPr>
          <w:b/>
          <w:color w:val="000000"/>
          <w:u w:val="single"/>
          <w:lang w:val="uk-UA"/>
        </w:rPr>
        <w:t>ВСТУП</w:t>
      </w:r>
    </w:p>
    <w:p w14:paraId="4EEA5C77" w14:textId="77777777" w:rsidR="00BB1DA8" w:rsidRPr="00BB1DA8" w:rsidRDefault="00BB1DA8" w:rsidP="00BB1DA8">
      <w:pPr>
        <w:shd w:val="clear" w:color="auto" w:fill="FFFFFF"/>
        <w:spacing w:before="117"/>
        <w:ind w:right="4" w:firstLine="284"/>
        <w:jc w:val="both"/>
        <w:rPr>
          <w:color w:val="000000"/>
          <w:lang w:val="uk-UA"/>
        </w:rPr>
      </w:pPr>
      <w:r w:rsidRPr="00BB1DA8">
        <w:rPr>
          <w:color w:val="000000"/>
          <w:lang w:val="uk-UA"/>
        </w:rPr>
        <w:t xml:space="preserve">Товариство Червоного Хреста України – всеукраїнська гуманітарна організація, яка допомагає Україні у наданні гуманітарної допомоги під час збройних конфліктів та у мирний час. </w:t>
      </w:r>
    </w:p>
    <w:p w14:paraId="0D480936" w14:textId="77777777" w:rsidR="00FD430D" w:rsidRDefault="00BB1DA8" w:rsidP="00BB1DA8">
      <w:pPr>
        <w:shd w:val="clear" w:color="auto" w:fill="FFFFFF"/>
        <w:spacing w:before="117" w:after="240"/>
        <w:ind w:right="4" w:firstLine="284"/>
        <w:jc w:val="both"/>
        <w:rPr>
          <w:color w:val="000000"/>
          <w:lang w:val="uk-UA"/>
        </w:rPr>
      </w:pPr>
      <w:r w:rsidRPr="00BB1DA8">
        <w:rPr>
          <w:color w:val="000000"/>
          <w:lang w:val="uk-UA"/>
        </w:rPr>
        <w:t xml:space="preserve">Діяльність Товариства Червоного Хреста України  регулюється Законом  України «Про Товариство Червоного Хреста України» від 2014 року, Законом України «Про символіку Червоного Хреста, Червоного Півмісяця, Червоного Кристала в Україні» від 2010 року, Указом Президента України від 28.10.1992 № 548/92 «Про Товариство Червоного Хреста України»,  а також Статутом Товариства Червоного Хреста України. </w:t>
      </w:r>
    </w:p>
    <w:p w14:paraId="0FEA1E5F" w14:textId="19AC97CB" w:rsidR="00BB1DA8" w:rsidRPr="00BB1DA8" w:rsidRDefault="00BB1DA8" w:rsidP="00BB1DA8">
      <w:pPr>
        <w:shd w:val="clear" w:color="auto" w:fill="FFFFFF"/>
        <w:spacing w:before="117" w:after="240"/>
        <w:ind w:right="4" w:firstLine="284"/>
        <w:jc w:val="both"/>
        <w:rPr>
          <w:color w:val="000000"/>
          <w:lang w:val="uk-UA"/>
        </w:rPr>
      </w:pPr>
      <w:r w:rsidRPr="00BB1DA8">
        <w:rPr>
          <w:color w:val="000000"/>
          <w:lang w:val="uk-UA"/>
        </w:rPr>
        <w:t>ТЧХУ звертається з проханням надати наступні послуги:</w:t>
      </w:r>
    </w:p>
    <w:p w14:paraId="239BCD86" w14:textId="77777777" w:rsidR="00BB1DA8" w:rsidRPr="00BB1DA8" w:rsidRDefault="00BB1DA8" w:rsidP="00BB1DA8">
      <w:pPr>
        <w:pStyle w:val="af0"/>
        <w:numPr>
          <w:ilvl w:val="0"/>
          <w:numId w:val="32"/>
        </w:numPr>
        <w:spacing w:after="240"/>
        <w:ind w:left="284" w:firstLine="0"/>
        <w:rPr>
          <w:rFonts w:eastAsia="MS Mincho"/>
          <w:b/>
          <w:lang w:val="uk-UA" w:eastAsia="ja-JP"/>
        </w:rPr>
      </w:pPr>
      <w:r w:rsidRPr="00BB1DA8">
        <w:rPr>
          <w:rFonts w:eastAsia="MS Mincho"/>
          <w:b/>
          <w:lang w:val="uk-UA" w:eastAsia="ja-JP"/>
        </w:rPr>
        <w:t>ЦІЛІ</w:t>
      </w:r>
    </w:p>
    <w:p w14:paraId="2B284B33" w14:textId="77777777" w:rsidR="00BB1DA8" w:rsidRPr="00BB1DA8" w:rsidRDefault="00BB1DA8" w:rsidP="00BB1DA8">
      <w:pPr>
        <w:jc w:val="both"/>
        <w:rPr>
          <w:lang w:val="uk-UA"/>
        </w:rPr>
      </w:pPr>
      <w:r w:rsidRPr="00BB1DA8">
        <w:rPr>
          <w:lang w:val="uk-UA"/>
        </w:rPr>
        <w:t xml:space="preserve">Задля забезпечення незалежної та об’єктивної оцінки фінансової звітності та консолідованої фінансової звітності Товариства Червоного Хреста України за 2024, 2025 та 2026 роки, та з метою підтвердження її точності, повноти та відповідності вимогам національних та міжнародних стандартів бухгалтерського обліку, а також виявлення можливих ризиків та шахрайства. </w:t>
      </w:r>
    </w:p>
    <w:p w14:paraId="43D99BE0" w14:textId="77777777" w:rsidR="00BB1DA8" w:rsidRPr="00BB1DA8" w:rsidRDefault="00BB1DA8" w:rsidP="00BB1DA8">
      <w:pPr>
        <w:jc w:val="both"/>
        <w:rPr>
          <w:lang w:val="uk-UA"/>
        </w:rPr>
      </w:pPr>
      <w:r w:rsidRPr="00BB1DA8">
        <w:rPr>
          <w:lang w:val="uk-UA"/>
        </w:rPr>
        <w:t xml:space="preserve"> </w:t>
      </w:r>
    </w:p>
    <w:p w14:paraId="0E3DAAA2" w14:textId="77777777" w:rsidR="00BB1DA8" w:rsidRPr="00BB1DA8" w:rsidRDefault="00BB1DA8" w:rsidP="00BB1DA8">
      <w:pPr>
        <w:jc w:val="both"/>
        <w:rPr>
          <w:sz w:val="2"/>
          <w:szCs w:val="2"/>
          <w:lang w:val="uk-UA"/>
        </w:rPr>
      </w:pPr>
    </w:p>
    <w:p w14:paraId="6EC7BC8D" w14:textId="77777777" w:rsidR="00BB1DA8" w:rsidRPr="00BB1DA8" w:rsidRDefault="00BB1DA8" w:rsidP="00BB1DA8">
      <w:pPr>
        <w:pStyle w:val="af0"/>
        <w:numPr>
          <w:ilvl w:val="0"/>
          <w:numId w:val="32"/>
        </w:numPr>
        <w:spacing w:after="240"/>
        <w:ind w:left="284" w:firstLine="0"/>
        <w:rPr>
          <w:rFonts w:eastAsia="MS Mincho"/>
          <w:b/>
          <w:lang w:val="uk-UA" w:eastAsia="ja-JP"/>
        </w:rPr>
      </w:pPr>
      <w:r w:rsidRPr="00BB1DA8">
        <w:rPr>
          <w:rFonts w:eastAsia="MS Mincho"/>
          <w:b/>
          <w:lang w:val="uk-UA" w:eastAsia="ja-JP"/>
        </w:rPr>
        <w:t>ОБСЯГ РОБІТ</w:t>
      </w:r>
    </w:p>
    <w:p w14:paraId="3830AC93" w14:textId="49EA811D" w:rsidR="00BB1DA8" w:rsidRPr="005F4406" w:rsidRDefault="00BB1DA8" w:rsidP="005F4406">
      <w:pPr>
        <w:pStyle w:val="af0"/>
        <w:widowControl w:val="0"/>
        <w:numPr>
          <w:ilvl w:val="0"/>
          <w:numId w:val="33"/>
        </w:numPr>
        <w:autoSpaceDE w:val="0"/>
        <w:autoSpaceDN w:val="0"/>
        <w:spacing w:after="160" w:line="252" w:lineRule="auto"/>
        <w:contextualSpacing/>
        <w:rPr>
          <w:rFonts w:eastAsia="Calibri"/>
          <w:lang w:val="uk-UA"/>
        </w:rPr>
      </w:pPr>
      <w:r w:rsidRPr="00BB1DA8">
        <w:rPr>
          <w:rFonts w:eastAsia="Calibri"/>
          <w:b/>
          <w:bCs/>
          <w:lang w:val="uk-UA"/>
        </w:rPr>
        <w:t>Завдання з аудиту фінансової звітності:</w:t>
      </w:r>
    </w:p>
    <w:tbl>
      <w:tblPr>
        <w:tblW w:w="0" w:type="auto"/>
        <w:tblLayout w:type="fixed"/>
        <w:tblLook w:val="06A0" w:firstRow="1" w:lastRow="0" w:firstColumn="1" w:lastColumn="0" w:noHBand="1" w:noVBand="1"/>
      </w:tblPr>
      <w:tblGrid>
        <w:gridCol w:w="10200"/>
      </w:tblGrid>
      <w:tr w:rsidR="00BB1DA8" w:rsidRPr="00AB7C32" w14:paraId="04D6AB26" w14:textId="77777777" w:rsidTr="00CF105C">
        <w:trPr>
          <w:trHeight w:val="930"/>
        </w:trPr>
        <w:tc>
          <w:tcPr>
            <w:tcW w:w="10200" w:type="dxa"/>
            <w:tcBorders>
              <w:top w:val="nil"/>
              <w:left w:val="nil"/>
              <w:bottom w:val="nil"/>
              <w:right w:val="nil"/>
            </w:tcBorders>
            <w:tcMar>
              <w:top w:w="15" w:type="dxa"/>
              <w:left w:w="15" w:type="dxa"/>
              <w:right w:w="15" w:type="dxa"/>
            </w:tcMar>
          </w:tcPr>
          <w:p w14:paraId="3E5959CC" w14:textId="77777777" w:rsidR="00BB1DA8" w:rsidRPr="00AB7C32" w:rsidRDefault="00BB1DA8" w:rsidP="00CF105C">
            <w:pPr>
              <w:rPr>
                <w:color w:val="000000" w:themeColor="text1"/>
                <w:lang w:val="uk-UA"/>
              </w:rPr>
            </w:pPr>
            <w:r w:rsidRPr="00AB7C32">
              <w:rPr>
                <w:color w:val="000000" w:themeColor="text1"/>
                <w:lang w:val="uk-UA"/>
              </w:rPr>
              <w:t>1. Аудиторський висновок (звіт незалежного аудитора) Виконавця, повинен бути складений відповідно до Міжнародних стандартів аудиту (</w:t>
            </w:r>
            <w:r w:rsidRPr="006F46D4">
              <w:rPr>
                <w:color w:val="000000" w:themeColor="text1"/>
                <w:lang w:val="uk-UA"/>
              </w:rPr>
              <w:t>далі – МСА), повине</w:t>
            </w:r>
            <w:r w:rsidRPr="00AB7C32">
              <w:rPr>
                <w:color w:val="000000" w:themeColor="text1"/>
                <w:lang w:val="uk-UA"/>
              </w:rPr>
              <w:t>н ґрунтуватися на результатах наданих послуг та містити висновок про те, чи представлена фінансова звітність достовірно, в усіх істотних аспектах, у відповідності до П(С)БО / МСФЗ.</w:t>
            </w:r>
          </w:p>
        </w:tc>
      </w:tr>
      <w:tr w:rsidR="00BB1DA8" w:rsidRPr="00AB7C32" w14:paraId="0928147D" w14:textId="77777777" w:rsidTr="00CF105C">
        <w:trPr>
          <w:trHeight w:val="315"/>
        </w:trPr>
        <w:tc>
          <w:tcPr>
            <w:tcW w:w="10200" w:type="dxa"/>
            <w:tcBorders>
              <w:top w:val="nil"/>
              <w:left w:val="nil"/>
              <w:bottom w:val="nil"/>
              <w:right w:val="nil"/>
            </w:tcBorders>
            <w:tcMar>
              <w:top w:w="15" w:type="dxa"/>
              <w:left w:w="15" w:type="dxa"/>
              <w:right w:w="15" w:type="dxa"/>
            </w:tcMar>
          </w:tcPr>
          <w:p w14:paraId="3A708195" w14:textId="77777777" w:rsidR="00BB1DA8" w:rsidRPr="00AB7C32" w:rsidRDefault="00BB1DA8" w:rsidP="00CF105C">
            <w:pPr>
              <w:rPr>
                <w:color w:val="000000" w:themeColor="text1"/>
                <w:lang w:val="uk-UA"/>
              </w:rPr>
            </w:pPr>
            <w:r w:rsidRPr="00AB7C32">
              <w:rPr>
                <w:color w:val="000000" w:themeColor="text1"/>
                <w:lang w:val="uk-UA"/>
              </w:rPr>
              <w:t>2. Перелік послуг, які повинен виконати Виконавець:</w:t>
            </w:r>
          </w:p>
        </w:tc>
      </w:tr>
      <w:tr w:rsidR="00BB1DA8" w:rsidRPr="00AB7C32" w14:paraId="5254C9B5" w14:textId="77777777" w:rsidTr="00CF105C">
        <w:trPr>
          <w:trHeight w:val="315"/>
        </w:trPr>
        <w:tc>
          <w:tcPr>
            <w:tcW w:w="10200" w:type="dxa"/>
            <w:tcBorders>
              <w:top w:val="nil"/>
              <w:left w:val="nil"/>
              <w:bottom w:val="nil"/>
              <w:right w:val="nil"/>
            </w:tcBorders>
            <w:tcMar>
              <w:top w:w="15" w:type="dxa"/>
              <w:left w:w="15" w:type="dxa"/>
              <w:right w:w="15" w:type="dxa"/>
            </w:tcMar>
          </w:tcPr>
          <w:p w14:paraId="61A6AD57" w14:textId="77777777" w:rsidR="00BB1DA8" w:rsidRPr="00AB7C32" w:rsidRDefault="00BB1DA8" w:rsidP="00CF105C">
            <w:pPr>
              <w:rPr>
                <w:color w:val="000000" w:themeColor="text1"/>
                <w:lang w:val="uk-UA"/>
              </w:rPr>
            </w:pPr>
            <w:r w:rsidRPr="00AB7C32">
              <w:rPr>
                <w:color w:val="000000" w:themeColor="text1"/>
                <w:lang w:val="uk-UA"/>
              </w:rPr>
              <w:t>-    попередній збір інформації, аналітичні процедури;</w:t>
            </w:r>
          </w:p>
        </w:tc>
      </w:tr>
      <w:tr w:rsidR="00BB1DA8" w:rsidRPr="00AB7C32" w14:paraId="1B39E308" w14:textId="77777777" w:rsidTr="00CF105C">
        <w:trPr>
          <w:trHeight w:val="315"/>
        </w:trPr>
        <w:tc>
          <w:tcPr>
            <w:tcW w:w="10200" w:type="dxa"/>
            <w:tcBorders>
              <w:top w:val="nil"/>
              <w:left w:val="nil"/>
              <w:bottom w:val="nil"/>
              <w:right w:val="nil"/>
            </w:tcBorders>
            <w:tcMar>
              <w:top w:w="15" w:type="dxa"/>
              <w:left w:w="15" w:type="dxa"/>
              <w:right w:w="15" w:type="dxa"/>
            </w:tcMar>
          </w:tcPr>
          <w:p w14:paraId="19CAFC33" w14:textId="77777777" w:rsidR="00BB1DA8" w:rsidRPr="00AB7C32" w:rsidRDefault="00BB1DA8" w:rsidP="00CF105C">
            <w:pPr>
              <w:rPr>
                <w:color w:val="000000" w:themeColor="text1"/>
                <w:lang w:val="uk-UA"/>
              </w:rPr>
            </w:pPr>
            <w:r w:rsidRPr="00AB7C32">
              <w:rPr>
                <w:color w:val="000000" w:themeColor="text1"/>
                <w:lang w:val="uk-UA"/>
              </w:rPr>
              <w:t>-    процедури з аналізу внутрішніх контролів та систем обліку;</w:t>
            </w:r>
          </w:p>
        </w:tc>
      </w:tr>
      <w:tr w:rsidR="00BB1DA8" w:rsidRPr="00AB7C32" w14:paraId="7BC8EE14" w14:textId="77777777" w:rsidTr="00CF105C">
        <w:trPr>
          <w:trHeight w:val="315"/>
        </w:trPr>
        <w:tc>
          <w:tcPr>
            <w:tcW w:w="10200" w:type="dxa"/>
            <w:tcBorders>
              <w:top w:val="nil"/>
              <w:left w:val="nil"/>
              <w:bottom w:val="nil"/>
              <w:right w:val="nil"/>
            </w:tcBorders>
            <w:tcMar>
              <w:top w:w="15" w:type="dxa"/>
              <w:left w:w="15" w:type="dxa"/>
              <w:right w:w="15" w:type="dxa"/>
            </w:tcMar>
          </w:tcPr>
          <w:p w14:paraId="16C76DB8" w14:textId="77777777" w:rsidR="00BB1DA8" w:rsidRPr="00AB7C32" w:rsidRDefault="00BB1DA8" w:rsidP="00CF105C">
            <w:pPr>
              <w:rPr>
                <w:color w:val="000000" w:themeColor="text1"/>
                <w:lang w:val="uk-UA"/>
              </w:rPr>
            </w:pPr>
            <w:r w:rsidRPr="00AB7C32">
              <w:rPr>
                <w:color w:val="000000" w:themeColor="text1"/>
                <w:lang w:val="uk-UA"/>
              </w:rPr>
              <w:t xml:space="preserve">  аудиторські процедури відносно  річного окремого/  річного консолідованого звіту про фінансовий стан;</w:t>
            </w:r>
          </w:p>
        </w:tc>
      </w:tr>
      <w:tr w:rsidR="00BB1DA8" w:rsidRPr="00AB7C32" w14:paraId="67C8EACA" w14:textId="77777777" w:rsidTr="00CF105C">
        <w:trPr>
          <w:trHeight w:val="630"/>
        </w:trPr>
        <w:tc>
          <w:tcPr>
            <w:tcW w:w="10200" w:type="dxa"/>
            <w:tcBorders>
              <w:top w:val="nil"/>
              <w:left w:val="nil"/>
              <w:bottom w:val="nil"/>
              <w:right w:val="nil"/>
            </w:tcBorders>
            <w:tcMar>
              <w:top w:w="15" w:type="dxa"/>
              <w:left w:w="15" w:type="dxa"/>
              <w:right w:w="15" w:type="dxa"/>
            </w:tcMar>
          </w:tcPr>
          <w:p w14:paraId="666264FB" w14:textId="77777777" w:rsidR="00BB1DA8" w:rsidRPr="00AB7C32" w:rsidRDefault="00BB1DA8" w:rsidP="00CF105C">
            <w:pPr>
              <w:rPr>
                <w:color w:val="000000" w:themeColor="text1"/>
                <w:lang w:val="uk-UA"/>
              </w:rPr>
            </w:pPr>
            <w:r w:rsidRPr="00AB7C32">
              <w:rPr>
                <w:color w:val="000000" w:themeColor="text1"/>
                <w:lang w:val="uk-UA"/>
              </w:rPr>
              <w:t xml:space="preserve"> аудиторські процедури відносно річного окремого/  річного консолідованого звіту про прибутки та збитки та інші сукупні доходи;</w:t>
            </w:r>
          </w:p>
        </w:tc>
      </w:tr>
      <w:tr w:rsidR="00BB1DA8" w:rsidRPr="00AB7C32" w14:paraId="4C78C43A" w14:textId="77777777" w:rsidTr="00CF105C">
        <w:trPr>
          <w:trHeight w:val="315"/>
        </w:trPr>
        <w:tc>
          <w:tcPr>
            <w:tcW w:w="10200" w:type="dxa"/>
            <w:tcBorders>
              <w:top w:val="nil"/>
              <w:left w:val="nil"/>
              <w:bottom w:val="nil"/>
              <w:right w:val="nil"/>
            </w:tcBorders>
            <w:tcMar>
              <w:top w:w="15" w:type="dxa"/>
              <w:left w:w="15" w:type="dxa"/>
              <w:right w:w="15" w:type="dxa"/>
            </w:tcMar>
          </w:tcPr>
          <w:p w14:paraId="21E44005" w14:textId="77777777" w:rsidR="00BB1DA8" w:rsidRPr="00AB7C32" w:rsidRDefault="00BB1DA8" w:rsidP="00CF105C">
            <w:pPr>
              <w:rPr>
                <w:color w:val="000000" w:themeColor="text1"/>
                <w:lang w:val="uk-UA"/>
              </w:rPr>
            </w:pPr>
            <w:r w:rsidRPr="00AB7C32">
              <w:rPr>
                <w:color w:val="000000" w:themeColor="text1"/>
                <w:lang w:val="uk-UA"/>
              </w:rPr>
              <w:t xml:space="preserve"> аудиторські процедури відносно  річного окремого/  річного консолідованого звіту про рух грошових коштів;</w:t>
            </w:r>
          </w:p>
        </w:tc>
      </w:tr>
      <w:tr w:rsidR="00BB1DA8" w:rsidRPr="00AB7C32" w14:paraId="13162D0E" w14:textId="77777777" w:rsidTr="00CF105C">
        <w:trPr>
          <w:trHeight w:val="630"/>
        </w:trPr>
        <w:tc>
          <w:tcPr>
            <w:tcW w:w="10200" w:type="dxa"/>
            <w:tcBorders>
              <w:top w:val="nil"/>
              <w:left w:val="nil"/>
              <w:bottom w:val="nil"/>
              <w:right w:val="nil"/>
            </w:tcBorders>
            <w:tcMar>
              <w:top w:w="15" w:type="dxa"/>
              <w:left w:w="15" w:type="dxa"/>
              <w:right w:w="15" w:type="dxa"/>
            </w:tcMar>
          </w:tcPr>
          <w:p w14:paraId="500CB8B1" w14:textId="77777777" w:rsidR="00BB1DA8" w:rsidRPr="00AB7C32" w:rsidRDefault="00BB1DA8" w:rsidP="00CF105C">
            <w:pPr>
              <w:rPr>
                <w:color w:val="000000" w:themeColor="text1"/>
                <w:lang w:val="uk-UA"/>
              </w:rPr>
            </w:pPr>
            <w:r w:rsidRPr="00AB7C32">
              <w:rPr>
                <w:color w:val="000000" w:themeColor="text1"/>
                <w:lang w:val="uk-UA"/>
              </w:rPr>
              <w:t xml:space="preserve"> аудиторські процедури відносно проміжного окремого/ річного окремого/ проміжного консолідованого/ річного консолідованого звіту про зміни в капіталі;</w:t>
            </w:r>
          </w:p>
        </w:tc>
      </w:tr>
      <w:tr w:rsidR="00BB1DA8" w:rsidRPr="005A36D1" w14:paraId="0FDFFD53" w14:textId="77777777" w:rsidTr="00CF105C">
        <w:trPr>
          <w:trHeight w:val="315"/>
        </w:trPr>
        <w:tc>
          <w:tcPr>
            <w:tcW w:w="10200" w:type="dxa"/>
            <w:tcBorders>
              <w:top w:val="nil"/>
              <w:left w:val="nil"/>
              <w:bottom w:val="nil"/>
              <w:right w:val="nil"/>
            </w:tcBorders>
            <w:tcMar>
              <w:top w:w="15" w:type="dxa"/>
              <w:left w:w="15" w:type="dxa"/>
              <w:right w:w="15" w:type="dxa"/>
            </w:tcMar>
          </w:tcPr>
          <w:p w14:paraId="54CB21E4" w14:textId="77777777" w:rsidR="00BB1DA8" w:rsidRPr="00AB7C32" w:rsidRDefault="00BB1DA8" w:rsidP="00CF105C">
            <w:pPr>
              <w:rPr>
                <w:color w:val="000000" w:themeColor="text1"/>
                <w:lang w:val="uk-UA"/>
              </w:rPr>
            </w:pPr>
            <w:r w:rsidRPr="00AB7C32">
              <w:rPr>
                <w:color w:val="000000" w:themeColor="text1"/>
                <w:lang w:val="uk-UA"/>
              </w:rPr>
              <w:t xml:space="preserve"> аудиторські процедури відносно приміток до річної окремої/  річної консолідованої фінансової звітності;</w:t>
            </w:r>
          </w:p>
        </w:tc>
      </w:tr>
      <w:tr w:rsidR="00BB1DA8" w:rsidRPr="005A36D1" w14:paraId="47921D7A" w14:textId="77777777" w:rsidTr="00CF105C">
        <w:trPr>
          <w:trHeight w:val="315"/>
        </w:trPr>
        <w:tc>
          <w:tcPr>
            <w:tcW w:w="10200" w:type="dxa"/>
            <w:tcBorders>
              <w:top w:val="nil"/>
              <w:left w:val="nil"/>
              <w:bottom w:val="nil"/>
              <w:right w:val="nil"/>
            </w:tcBorders>
            <w:tcMar>
              <w:top w:w="15" w:type="dxa"/>
              <w:left w:w="15" w:type="dxa"/>
              <w:right w:w="15" w:type="dxa"/>
            </w:tcMar>
          </w:tcPr>
          <w:p w14:paraId="1F06164C" w14:textId="77777777" w:rsidR="00BB1DA8" w:rsidRPr="00AB7C32" w:rsidRDefault="00BB1DA8" w:rsidP="00CF105C">
            <w:pPr>
              <w:rPr>
                <w:color w:val="000000" w:themeColor="text1"/>
                <w:lang w:val="uk-UA"/>
              </w:rPr>
            </w:pPr>
            <w:r w:rsidRPr="00AB7C32">
              <w:rPr>
                <w:color w:val="000000" w:themeColor="text1"/>
                <w:lang w:val="uk-UA"/>
              </w:rPr>
              <w:t>складання аудиторського висновку щодо річної окремої річної консолідованої фінансової звітності;</w:t>
            </w:r>
          </w:p>
        </w:tc>
      </w:tr>
      <w:tr w:rsidR="00BB1DA8" w:rsidRPr="005A36D1" w14:paraId="4950ACE7" w14:textId="77777777" w:rsidTr="00CF105C">
        <w:trPr>
          <w:trHeight w:val="630"/>
        </w:trPr>
        <w:tc>
          <w:tcPr>
            <w:tcW w:w="10200" w:type="dxa"/>
            <w:tcBorders>
              <w:top w:val="nil"/>
              <w:left w:val="nil"/>
              <w:bottom w:val="nil"/>
              <w:right w:val="nil"/>
            </w:tcBorders>
            <w:tcMar>
              <w:top w:w="15" w:type="dxa"/>
              <w:left w:w="15" w:type="dxa"/>
              <w:right w:w="15" w:type="dxa"/>
            </w:tcMar>
          </w:tcPr>
          <w:p w14:paraId="4B81B02E" w14:textId="77777777" w:rsidR="00BB1DA8" w:rsidRPr="00AB7C32" w:rsidRDefault="00BB1DA8" w:rsidP="00CF105C">
            <w:pPr>
              <w:rPr>
                <w:color w:val="000000" w:themeColor="text1"/>
                <w:lang w:val="uk-UA"/>
              </w:rPr>
            </w:pPr>
            <w:r w:rsidRPr="00AB7C32">
              <w:rPr>
                <w:color w:val="000000" w:themeColor="text1"/>
                <w:lang w:val="uk-UA"/>
              </w:rPr>
              <w:t>-    підготовку звіту про виявлені недоліки в сфері обліку і системи внутрішніх контролів, та відповідні рекомендації щодо можливого усунення або мінімізації їхнього впливу в майбутньому;</w:t>
            </w:r>
          </w:p>
        </w:tc>
      </w:tr>
      <w:tr w:rsidR="00BB1DA8" w:rsidRPr="005A36D1" w14:paraId="793198FC" w14:textId="77777777" w:rsidTr="00CF105C">
        <w:trPr>
          <w:trHeight w:val="630"/>
        </w:trPr>
        <w:tc>
          <w:tcPr>
            <w:tcW w:w="10200" w:type="dxa"/>
            <w:tcBorders>
              <w:top w:val="nil"/>
              <w:left w:val="nil"/>
              <w:bottom w:val="nil"/>
              <w:right w:val="nil"/>
            </w:tcBorders>
            <w:tcMar>
              <w:top w:w="15" w:type="dxa"/>
              <w:left w:w="15" w:type="dxa"/>
              <w:right w:w="15" w:type="dxa"/>
            </w:tcMar>
          </w:tcPr>
          <w:p w14:paraId="3705EBBE" w14:textId="77777777" w:rsidR="00BB1DA8" w:rsidRPr="00AB7C32" w:rsidRDefault="00BB1DA8" w:rsidP="00CF105C">
            <w:pPr>
              <w:rPr>
                <w:color w:val="000000" w:themeColor="text1"/>
                <w:lang w:val="uk-UA"/>
              </w:rPr>
            </w:pPr>
            <w:r w:rsidRPr="00AB7C32">
              <w:rPr>
                <w:color w:val="000000" w:themeColor="text1"/>
                <w:lang w:val="uk-UA"/>
              </w:rPr>
              <w:t>-    проведення аналізу впливу факторів (якщо такі будуть виявлені), які призвели до модифікації аудиторської думки та підготовка відповідного звіту.</w:t>
            </w:r>
          </w:p>
        </w:tc>
      </w:tr>
    </w:tbl>
    <w:p w14:paraId="7EC6E7E4" w14:textId="77777777" w:rsidR="00BB1DA8" w:rsidRPr="00AB7C32" w:rsidRDefault="00BB1DA8" w:rsidP="00BB1DA8">
      <w:pPr>
        <w:spacing w:after="160" w:line="259" w:lineRule="auto"/>
        <w:jc w:val="both"/>
        <w:rPr>
          <w:rFonts w:eastAsia="Calibri"/>
          <w:color w:val="000000" w:themeColor="text1"/>
          <w:lang w:val="uk-UA"/>
        </w:rPr>
      </w:pPr>
    </w:p>
    <w:tbl>
      <w:tblPr>
        <w:tblW w:w="10200" w:type="dxa"/>
        <w:tblLayout w:type="fixed"/>
        <w:tblLook w:val="06A0" w:firstRow="1" w:lastRow="0" w:firstColumn="1" w:lastColumn="0" w:noHBand="1" w:noVBand="1"/>
      </w:tblPr>
      <w:tblGrid>
        <w:gridCol w:w="5359"/>
        <w:gridCol w:w="4739"/>
        <w:gridCol w:w="102"/>
      </w:tblGrid>
      <w:tr w:rsidR="00BB1DA8" w:rsidRPr="00BB1DA8" w14:paraId="354F196A" w14:textId="77777777" w:rsidTr="0087128F">
        <w:trPr>
          <w:trHeight w:val="315"/>
        </w:trPr>
        <w:tc>
          <w:tcPr>
            <w:tcW w:w="10200" w:type="dxa"/>
            <w:gridSpan w:val="3"/>
            <w:tcBorders>
              <w:top w:val="nil"/>
              <w:left w:val="nil"/>
              <w:bottom w:val="nil"/>
              <w:right w:val="nil"/>
            </w:tcBorders>
            <w:tcMar>
              <w:top w:w="15" w:type="dxa"/>
              <w:left w:w="15" w:type="dxa"/>
              <w:right w:w="15" w:type="dxa"/>
            </w:tcMar>
          </w:tcPr>
          <w:p w14:paraId="3CE2234E" w14:textId="77777777" w:rsidR="00BB1DA8" w:rsidRDefault="00BB1DA8" w:rsidP="00CF105C">
            <w:pPr>
              <w:rPr>
                <w:color w:val="FF0000"/>
                <w:lang w:val="uk-UA"/>
              </w:rPr>
            </w:pPr>
            <w:r w:rsidRPr="00BB1DA8">
              <w:rPr>
                <w:color w:val="333333"/>
                <w:lang w:val="uk-UA"/>
              </w:rPr>
              <w:lastRenderedPageBreak/>
              <w:t>3. Граничні строки  надання аудиторських послуг та їх результатів</w:t>
            </w:r>
            <w:r w:rsidRPr="00BB1DA8">
              <w:rPr>
                <w:color w:val="FF0000"/>
                <w:lang w:val="uk-UA"/>
              </w:rPr>
              <w:t xml:space="preserve"> </w:t>
            </w:r>
          </w:p>
          <w:p w14:paraId="2FBB08D8" w14:textId="77777777" w:rsidR="0087128F" w:rsidRPr="00BB1DA8" w:rsidRDefault="0087128F" w:rsidP="00CF105C">
            <w:pPr>
              <w:rPr>
                <w:color w:val="FF0000"/>
                <w:lang w:val="uk-UA"/>
              </w:rPr>
            </w:pPr>
          </w:p>
        </w:tc>
      </w:tr>
      <w:tr w:rsidR="00BB1DA8" w:rsidRPr="00BB1DA8" w14:paraId="3380123F" w14:textId="77777777" w:rsidTr="0087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616"/>
        </w:trPr>
        <w:tc>
          <w:tcPr>
            <w:tcW w:w="5359" w:type="dxa"/>
            <w:shd w:val="clear" w:color="auto" w:fill="F2F2F2" w:themeFill="background1" w:themeFillShade="F2"/>
            <w:tcMar>
              <w:top w:w="15" w:type="dxa"/>
              <w:left w:w="15" w:type="dxa"/>
              <w:right w:w="15" w:type="dxa"/>
            </w:tcMar>
            <w:vAlign w:val="center"/>
          </w:tcPr>
          <w:p w14:paraId="20722FF6" w14:textId="77777777" w:rsidR="00BB1DA8" w:rsidRPr="00BB1DA8" w:rsidRDefault="00BB1DA8" w:rsidP="00CF105C">
            <w:pPr>
              <w:jc w:val="center"/>
              <w:rPr>
                <w:b/>
                <w:bCs/>
                <w:color w:val="000000" w:themeColor="text1"/>
                <w:sz w:val="20"/>
                <w:szCs w:val="20"/>
                <w:lang w:val="uk-UA"/>
              </w:rPr>
            </w:pPr>
            <w:r w:rsidRPr="00BB1DA8">
              <w:rPr>
                <w:b/>
                <w:bCs/>
                <w:color w:val="000000" w:themeColor="text1"/>
                <w:sz w:val="20"/>
                <w:szCs w:val="20"/>
                <w:lang w:val="uk-UA"/>
              </w:rPr>
              <w:t>Перелік документації за результатами наданих аудиторських послуг</w:t>
            </w:r>
          </w:p>
        </w:tc>
        <w:tc>
          <w:tcPr>
            <w:tcW w:w="4739" w:type="dxa"/>
            <w:shd w:val="clear" w:color="auto" w:fill="F2F2F2" w:themeFill="background1" w:themeFillShade="F2"/>
            <w:tcMar>
              <w:top w:w="15" w:type="dxa"/>
              <w:left w:w="15" w:type="dxa"/>
              <w:right w:w="15" w:type="dxa"/>
            </w:tcMar>
            <w:vAlign w:val="center"/>
          </w:tcPr>
          <w:p w14:paraId="57A6C27D" w14:textId="77777777" w:rsidR="00BB1DA8" w:rsidRPr="00BB1DA8" w:rsidRDefault="00BB1DA8" w:rsidP="00CF105C">
            <w:pPr>
              <w:jc w:val="center"/>
              <w:rPr>
                <w:b/>
                <w:bCs/>
                <w:color w:val="000000" w:themeColor="text1"/>
                <w:sz w:val="20"/>
                <w:szCs w:val="20"/>
                <w:lang w:val="uk-UA"/>
              </w:rPr>
            </w:pPr>
            <w:r w:rsidRPr="00BB1DA8">
              <w:rPr>
                <w:b/>
                <w:bCs/>
                <w:color w:val="000000" w:themeColor="text1"/>
                <w:sz w:val="20"/>
                <w:szCs w:val="20"/>
                <w:lang w:val="uk-UA"/>
              </w:rPr>
              <w:t xml:space="preserve">Граничний строк надання аудиторських послуг та їх результатів </w:t>
            </w:r>
          </w:p>
        </w:tc>
      </w:tr>
      <w:tr w:rsidR="00BB1DA8" w:rsidRPr="00BB1DA8" w14:paraId="79440FF5" w14:textId="77777777" w:rsidTr="0087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919"/>
        </w:trPr>
        <w:tc>
          <w:tcPr>
            <w:tcW w:w="5359" w:type="dxa"/>
            <w:tcMar>
              <w:top w:w="15" w:type="dxa"/>
              <w:left w:w="15" w:type="dxa"/>
              <w:right w:w="15" w:type="dxa"/>
            </w:tcMar>
            <w:vAlign w:val="center"/>
          </w:tcPr>
          <w:p w14:paraId="5348D6BF" w14:textId="77777777" w:rsidR="00BB1DA8" w:rsidRPr="00BB1DA8" w:rsidRDefault="00BB1DA8" w:rsidP="00CF105C">
            <w:pPr>
              <w:rPr>
                <w:color w:val="000000" w:themeColor="text1"/>
                <w:sz w:val="20"/>
                <w:szCs w:val="20"/>
                <w:lang w:val="uk-UA"/>
              </w:rPr>
            </w:pPr>
            <w:r w:rsidRPr="00BB1DA8">
              <w:rPr>
                <w:color w:val="000000" w:themeColor="text1"/>
                <w:sz w:val="20"/>
                <w:szCs w:val="20"/>
                <w:lang w:val="uk-UA"/>
              </w:rPr>
              <w:t xml:space="preserve">Аудит  окремої фінансової звітності та консолідованої фінансової звітності за П(С)БО за рік, що закінчився </w:t>
            </w:r>
            <w:r w:rsidRPr="00BB1DA8">
              <w:rPr>
                <w:b/>
                <w:bCs/>
                <w:color w:val="000000" w:themeColor="text1"/>
                <w:sz w:val="20"/>
                <w:szCs w:val="20"/>
                <w:lang w:val="uk-UA"/>
              </w:rPr>
              <w:t>31 грудня 2024</w:t>
            </w:r>
            <w:r w:rsidRPr="00BB1DA8">
              <w:rPr>
                <w:color w:val="000000" w:themeColor="text1"/>
                <w:sz w:val="20"/>
                <w:szCs w:val="20"/>
                <w:lang w:val="uk-UA"/>
              </w:rPr>
              <w:t xml:space="preserve"> </w:t>
            </w:r>
            <w:r w:rsidRPr="00BB1DA8">
              <w:rPr>
                <w:b/>
                <w:bCs/>
                <w:color w:val="000000" w:themeColor="text1"/>
                <w:sz w:val="20"/>
                <w:szCs w:val="20"/>
                <w:lang w:val="uk-UA"/>
              </w:rPr>
              <w:t>року</w:t>
            </w:r>
            <w:r w:rsidRPr="00BB1DA8">
              <w:rPr>
                <w:color w:val="000000" w:themeColor="text1"/>
                <w:sz w:val="20"/>
                <w:szCs w:val="20"/>
                <w:lang w:val="uk-UA"/>
              </w:rPr>
              <w:t xml:space="preserve">. </w:t>
            </w:r>
          </w:p>
        </w:tc>
        <w:tc>
          <w:tcPr>
            <w:tcW w:w="4739" w:type="dxa"/>
            <w:tcMar>
              <w:top w:w="15" w:type="dxa"/>
              <w:left w:w="15" w:type="dxa"/>
              <w:right w:w="15" w:type="dxa"/>
            </w:tcMar>
            <w:vAlign w:val="center"/>
          </w:tcPr>
          <w:p w14:paraId="2C6351C0" w14:textId="77777777" w:rsidR="00BB1DA8" w:rsidRPr="00BB1DA8" w:rsidRDefault="00BB1DA8" w:rsidP="00CF105C">
            <w:pPr>
              <w:rPr>
                <w:color w:val="000000" w:themeColor="text1"/>
                <w:sz w:val="20"/>
                <w:szCs w:val="20"/>
                <w:lang w:val="uk-UA"/>
              </w:rPr>
            </w:pPr>
            <w:r w:rsidRPr="00BB1DA8">
              <w:rPr>
                <w:color w:val="000000" w:themeColor="text1"/>
                <w:sz w:val="20"/>
                <w:szCs w:val="20"/>
                <w:lang w:val="uk-UA"/>
              </w:rPr>
              <w:t>Проект Звіту - не пізніше «15» квітня 2025 року;  Звіт не пізніше «</w:t>
            </w:r>
            <w:r w:rsidRPr="00BB1DA8">
              <w:rPr>
                <w:b/>
                <w:bCs/>
                <w:color w:val="000000" w:themeColor="text1"/>
                <w:sz w:val="20"/>
                <w:szCs w:val="20"/>
                <w:lang w:val="uk-UA"/>
              </w:rPr>
              <w:t>15</w:t>
            </w:r>
            <w:r w:rsidRPr="00BB1DA8">
              <w:rPr>
                <w:color w:val="000000" w:themeColor="text1"/>
                <w:sz w:val="20"/>
                <w:szCs w:val="20"/>
                <w:lang w:val="uk-UA"/>
              </w:rPr>
              <w:t xml:space="preserve">» травня  2025 року </w:t>
            </w:r>
          </w:p>
        </w:tc>
      </w:tr>
      <w:tr w:rsidR="00BB1DA8" w:rsidRPr="00BB1DA8" w14:paraId="67396B8B" w14:textId="77777777" w:rsidTr="0087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1006"/>
        </w:trPr>
        <w:tc>
          <w:tcPr>
            <w:tcW w:w="5359" w:type="dxa"/>
            <w:tcMar>
              <w:top w:w="15" w:type="dxa"/>
              <w:left w:w="15" w:type="dxa"/>
              <w:right w:w="15" w:type="dxa"/>
            </w:tcMar>
            <w:vAlign w:val="center"/>
          </w:tcPr>
          <w:p w14:paraId="432528B5" w14:textId="77777777" w:rsidR="00BB1DA8" w:rsidRPr="00BB1DA8" w:rsidRDefault="00BB1DA8" w:rsidP="00CF105C">
            <w:pPr>
              <w:rPr>
                <w:color w:val="000000" w:themeColor="text1"/>
                <w:sz w:val="20"/>
                <w:szCs w:val="20"/>
                <w:lang w:val="uk-UA"/>
              </w:rPr>
            </w:pPr>
            <w:r w:rsidRPr="00BB1DA8">
              <w:rPr>
                <w:color w:val="000000" w:themeColor="text1"/>
                <w:sz w:val="20"/>
                <w:szCs w:val="20"/>
                <w:lang w:val="uk-UA"/>
              </w:rPr>
              <w:t xml:space="preserve">Аудит окремої фінансової звітності  та консолідованої фінансової звітності за П(С)БО за рік, що закінчився </w:t>
            </w:r>
            <w:r w:rsidRPr="00BB1DA8">
              <w:rPr>
                <w:b/>
                <w:bCs/>
                <w:color w:val="000000" w:themeColor="text1"/>
                <w:sz w:val="20"/>
                <w:szCs w:val="20"/>
                <w:lang w:val="uk-UA"/>
              </w:rPr>
              <w:t>31 грудня 2025</w:t>
            </w:r>
            <w:r w:rsidRPr="00BB1DA8">
              <w:rPr>
                <w:color w:val="000000" w:themeColor="text1"/>
                <w:sz w:val="20"/>
                <w:szCs w:val="20"/>
                <w:lang w:val="uk-UA"/>
              </w:rPr>
              <w:t xml:space="preserve"> </w:t>
            </w:r>
            <w:r w:rsidRPr="00BB1DA8">
              <w:rPr>
                <w:b/>
                <w:bCs/>
                <w:color w:val="000000" w:themeColor="text1"/>
                <w:sz w:val="20"/>
                <w:szCs w:val="20"/>
                <w:lang w:val="uk-UA"/>
              </w:rPr>
              <w:t>року</w:t>
            </w:r>
            <w:r w:rsidRPr="00BB1DA8">
              <w:rPr>
                <w:color w:val="000000" w:themeColor="text1"/>
                <w:sz w:val="20"/>
                <w:szCs w:val="20"/>
                <w:lang w:val="uk-UA"/>
              </w:rPr>
              <w:t xml:space="preserve">. </w:t>
            </w:r>
          </w:p>
        </w:tc>
        <w:tc>
          <w:tcPr>
            <w:tcW w:w="4739" w:type="dxa"/>
            <w:tcMar>
              <w:top w:w="15" w:type="dxa"/>
              <w:left w:w="15" w:type="dxa"/>
              <w:right w:w="15" w:type="dxa"/>
            </w:tcMar>
            <w:vAlign w:val="center"/>
          </w:tcPr>
          <w:p w14:paraId="03978797" w14:textId="77777777" w:rsidR="00BB1DA8" w:rsidRPr="00BB1DA8" w:rsidRDefault="00BB1DA8" w:rsidP="00CF105C">
            <w:pPr>
              <w:rPr>
                <w:color w:val="000000" w:themeColor="text1"/>
                <w:sz w:val="20"/>
                <w:szCs w:val="20"/>
                <w:lang w:val="uk-UA"/>
              </w:rPr>
            </w:pPr>
            <w:r w:rsidRPr="00BB1DA8">
              <w:rPr>
                <w:color w:val="000000" w:themeColor="text1"/>
                <w:sz w:val="20"/>
                <w:szCs w:val="20"/>
                <w:lang w:val="uk-UA"/>
              </w:rPr>
              <w:t>Проект Звіту - не пізніше «15» квітня 2026 року;  Звіт не пізніше «</w:t>
            </w:r>
            <w:r w:rsidRPr="00BB1DA8">
              <w:rPr>
                <w:b/>
                <w:bCs/>
                <w:color w:val="000000" w:themeColor="text1"/>
                <w:sz w:val="20"/>
                <w:szCs w:val="20"/>
                <w:lang w:val="uk-UA"/>
              </w:rPr>
              <w:t>15</w:t>
            </w:r>
            <w:r w:rsidRPr="00BB1DA8">
              <w:rPr>
                <w:color w:val="000000" w:themeColor="text1"/>
                <w:sz w:val="20"/>
                <w:szCs w:val="20"/>
                <w:lang w:val="uk-UA"/>
              </w:rPr>
              <w:t xml:space="preserve">» травня  2026 року </w:t>
            </w:r>
          </w:p>
        </w:tc>
      </w:tr>
      <w:tr w:rsidR="00BB1DA8" w:rsidRPr="00BB1DA8" w14:paraId="556C914F" w14:textId="77777777" w:rsidTr="0087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911"/>
        </w:trPr>
        <w:tc>
          <w:tcPr>
            <w:tcW w:w="5359" w:type="dxa"/>
            <w:tcMar>
              <w:top w:w="15" w:type="dxa"/>
              <w:left w:w="15" w:type="dxa"/>
              <w:right w:w="15" w:type="dxa"/>
            </w:tcMar>
            <w:vAlign w:val="center"/>
          </w:tcPr>
          <w:p w14:paraId="20DF9C79" w14:textId="77777777" w:rsidR="00BB1DA8" w:rsidRPr="00BB1DA8" w:rsidRDefault="00BB1DA8" w:rsidP="00CF105C">
            <w:pPr>
              <w:rPr>
                <w:color w:val="000000" w:themeColor="text1"/>
                <w:sz w:val="20"/>
                <w:szCs w:val="20"/>
                <w:lang w:val="uk-UA"/>
              </w:rPr>
            </w:pPr>
            <w:r w:rsidRPr="00BB1DA8">
              <w:rPr>
                <w:color w:val="000000" w:themeColor="text1"/>
                <w:sz w:val="20"/>
                <w:szCs w:val="20"/>
                <w:lang w:val="uk-UA"/>
              </w:rPr>
              <w:t xml:space="preserve">Аудит окремої фінансової звітності  та консолідованої фінансової звітності за МСФЗ  за рік, що закінчився </w:t>
            </w:r>
            <w:r w:rsidRPr="00BB1DA8">
              <w:rPr>
                <w:b/>
                <w:bCs/>
                <w:color w:val="000000" w:themeColor="text1"/>
                <w:sz w:val="20"/>
                <w:szCs w:val="20"/>
                <w:lang w:val="uk-UA"/>
              </w:rPr>
              <w:t>31 грудня 2026</w:t>
            </w:r>
            <w:r w:rsidRPr="00BB1DA8">
              <w:rPr>
                <w:color w:val="000000" w:themeColor="text1"/>
                <w:sz w:val="20"/>
                <w:szCs w:val="20"/>
                <w:lang w:val="uk-UA"/>
              </w:rPr>
              <w:t xml:space="preserve"> </w:t>
            </w:r>
            <w:r w:rsidRPr="00BB1DA8">
              <w:rPr>
                <w:b/>
                <w:bCs/>
                <w:color w:val="000000" w:themeColor="text1"/>
                <w:sz w:val="20"/>
                <w:szCs w:val="20"/>
                <w:lang w:val="uk-UA"/>
              </w:rPr>
              <w:t>року</w:t>
            </w:r>
            <w:r w:rsidRPr="00BB1DA8">
              <w:rPr>
                <w:color w:val="000000" w:themeColor="text1"/>
                <w:sz w:val="20"/>
                <w:szCs w:val="20"/>
                <w:lang w:val="uk-UA"/>
              </w:rPr>
              <w:t xml:space="preserve">. </w:t>
            </w:r>
          </w:p>
        </w:tc>
        <w:tc>
          <w:tcPr>
            <w:tcW w:w="4739" w:type="dxa"/>
            <w:tcMar>
              <w:top w:w="15" w:type="dxa"/>
              <w:left w:w="15" w:type="dxa"/>
              <w:right w:w="15" w:type="dxa"/>
            </w:tcMar>
            <w:vAlign w:val="center"/>
          </w:tcPr>
          <w:p w14:paraId="3D8293CA" w14:textId="4BA6AF8B" w:rsidR="00BB1DA8" w:rsidRPr="00BB1DA8" w:rsidRDefault="007E57BE" w:rsidP="00CF105C">
            <w:pPr>
              <w:rPr>
                <w:color w:val="000000" w:themeColor="text1"/>
                <w:sz w:val="20"/>
                <w:szCs w:val="20"/>
                <w:lang w:val="uk-UA"/>
              </w:rPr>
            </w:pPr>
            <w:r>
              <w:rPr>
                <w:color w:val="000000" w:themeColor="text1"/>
                <w:sz w:val="20"/>
                <w:szCs w:val="20"/>
                <w:lang w:val="uk-UA"/>
              </w:rPr>
              <w:t>П</w:t>
            </w:r>
            <w:r w:rsidR="00BB1DA8" w:rsidRPr="00BB1DA8">
              <w:rPr>
                <w:color w:val="000000" w:themeColor="text1"/>
                <w:sz w:val="20"/>
                <w:szCs w:val="20"/>
                <w:lang w:val="uk-UA"/>
              </w:rPr>
              <w:t>роект Звіту - не пізніше «15» квітня 2027 року;  Звіт не пізніше «</w:t>
            </w:r>
            <w:r w:rsidR="00BB1DA8" w:rsidRPr="00BB1DA8">
              <w:rPr>
                <w:b/>
                <w:bCs/>
                <w:color w:val="000000" w:themeColor="text1"/>
                <w:sz w:val="20"/>
                <w:szCs w:val="20"/>
                <w:lang w:val="uk-UA"/>
              </w:rPr>
              <w:t>15</w:t>
            </w:r>
            <w:r w:rsidR="00BB1DA8" w:rsidRPr="00BB1DA8">
              <w:rPr>
                <w:color w:val="000000" w:themeColor="text1"/>
                <w:sz w:val="20"/>
                <w:szCs w:val="20"/>
                <w:lang w:val="uk-UA"/>
              </w:rPr>
              <w:t>» травня  2027 року</w:t>
            </w:r>
          </w:p>
        </w:tc>
      </w:tr>
    </w:tbl>
    <w:p w14:paraId="28AFEB5A" w14:textId="77777777" w:rsidR="002E086B" w:rsidRDefault="002E086B" w:rsidP="00BB1DA8">
      <w:pPr>
        <w:spacing w:after="160" w:line="259" w:lineRule="auto"/>
        <w:jc w:val="both"/>
        <w:rPr>
          <w:lang w:val="uk-UA"/>
        </w:rPr>
      </w:pPr>
    </w:p>
    <w:p w14:paraId="095E3C73" w14:textId="295B253A" w:rsidR="00BB1DA8" w:rsidRPr="00BB1DA8" w:rsidRDefault="00BB1DA8" w:rsidP="00BB1DA8">
      <w:pPr>
        <w:spacing w:after="160" w:line="259" w:lineRule="auto"/>
        <w:jc w:val="both"/>
        <w:rPr>
          <w:lang w:val="uk-UA"/>
        </w:rPr>
      </w:pPr>
      <w:r w:rsidRPr="00BB1DA8">
        <w:rPr>
          <w:lang w:val="uk-UA"/>
        </w:rPr>
        <w:t xml:space="preserve">4. ТЧХУ до 2024 року складала річну </w:t>
      </w:r>
      <w:r w:rsidRPr="00BB1DA8">
        <w:rPr>
          <w:color w:val="333333"/>
          <w:lang w:val="uk-UA"/>
        </w:rPr>
        <w:t xml:space="preserve">скорочену за показниками фінансову звітність у складі балансу та звіту про фінансові результати, як мале підприємство. За  2024 рік </w:t>
      </w:r>
      <w:r w:rsidRPr="00BB1DA8">
        <w:rPr>
          <w:lang w:val="uk-UA"/>
        </w:rPr>
        <w:t>ТЧХУ складає повну  фінансову звітність у зв’язку зі зміною категорії з малого підприємства на середнє. Обсяг аудиту за 2024 включає звітність за рік, і не включає аудит за порівняльний період (2023).</w:t>
      </w:r>
    </w:p>
    <w:p w14:paraId="7F41C0B8" w14:textId="140CD978" w:rsidR="00BB1DA8" w:rsidRPr="00BB1DA8" w:rsidRDefault="00BB1DA8" w:rsidP="00BB1DA8">
      <w:pPr>
        <w:spacing w:after="160" w:line="259" w:lineRule="auto"/>
        <w:jc w:val="both"/>
        <w:rPr>
          <w:color w:val="333333"/>
          <w:lang w:val="uk-UA"/>
        </w:rPr>
      </w:pPr>
      <w:r w:rsidRPr="00BB1DA8">
        <w:rPr>
          <w:lang w:val="uk-UA"/>
        </w:rPr>
        <w:t>5. Дата переходу на МСФЗ - 01.01.2025 року. Перша фінансова звітність та консолідована фінансова звітність ТЧХУ за МСФЗ за 2026 рік  містить  три звіти про фінансовий стан (01.01.2025, 31.12.2025, 31.12.2026), два звіти про прибуток та збиток та інший сукупний дохід (2025,</w:t>
      </w:r>
      <w:r w:rsidR="005740B8">
        <w:rPr>
          <w:lang w:val="uk-UA"/>
        </w:rPr>
        <w:t xml:space="preserve"> </w:t>
      </w:r>
      <w:r w:rsidRPr="00BB1DA8">
        <w:rPr>
          <w:lang w:val="uk-UA"/>
        </w:rPr>
        <w:t xml:space="preserve">2026 </w:t>
      </w:r>
      <w:proofErr w:type="spellStart"/>
      <w:r w:rsidRPr="00BB1DA8">
        <w:rPr>
          <w:lang w:val="uk-UA"/>
        </w:rPr>
        <w:t>рр</w:t>
      </w:r>
      <w:proofErr w:type="spellEnd"/>
      <w:r w:rsidRPr="00BB1DA8">
        <w:rPr>
          <w:lang w:val="uk-UA"/>
        </w:rPr>
        <w:t>),  два звіти про рух грошових коштів (2025, 2026 роки) та два звіти про зміни у власному капіталі (2025, 2026 роки) та відповідні примітки, що включають порівняльну інформацію для всіх поданих фінансових звітів</w:t>
      </w:r>
      <w:r w:rsidR="00B76226">
        <w:rPr>
          <w:lang w:val="uk-UA"/>
        </w:rPr>
        <w:t>.</w:t>
      </w:r>
    </w:p>
    <w:p w14:paraId="188B54D9" w14:textId="77777777" w:rsidR="00BB1DA8" w:rsidRPr="00BB1DA8" w:rsidRDefault="00BB1DA8" w:rsidP="00BB1DA8">
      <w:pPr>
        <w:shd w:val="clear" w:color="auto" w:fill="FFFFFF" w:themeFill="background1"/>
        <w:jc w:val="both"/>
        <w:rPr>
          <w:color w:val="242424"/>
          <w:lang w:val="uk-UA"/>
        </w:rPr>
      </w:pPr>
      <w:r w:rsidRPr="00BB1DA8">
        <w:rPr>
          <w:color w:val="242424"/>
          <w:lang w:val="uk-UA"/>
        </w:rPr>
        <w:t>5. Орієнтовні дані по операціям ТЧХУ за 2024 рік:</w:t>
      </w:r>
    </w:p>
    <w:p w14:paraId="3442C201" w14:textId="77777777" w:rsidR="00BB1DA8" w:rsidRPr="00BB1DA8" w:rsidRDefault="00BB1DA8" w:rsidP="00BB1DA8">
      <w:pPr>
        <w:pStyle w:val="af0"/>
        <w:widowControl w:val="0"/>
        <w:numPr>
          <w:ilvl w:val="0"/>
          <w:numId w:val="31"/>
        </w:numPr>
        <w:shd w:val="clear" w:color="auto" w:fill="FFFFFF" w:themeFill="background1"/>
        <w:autoSpaceDE w:val="0"/>
        <w:autoSpaceDN w:val="0"/>
        <w:jc w:val="both"/>
        <w:rPr>
          <w:color w:val="242424"/>
          <w:lang w:val="uk-UA"/>
        </w:rPr>
      </w:pPr>
      <w:r w:rsidRPr="00BB1DA8">
        <w:rPr>
          <w:color w:val="242424"/>
          <w:lang w:val="uk-UA"/>
        </w:rPr>
        <w:t>кількість операцій на рівні 96 000 операцій;</w:t>
      </w:r>
    </w:p>
    <w:p w14:paraId="00196A8C" w14:textId="77777777" w:rsidR="00BB1DA8" w:rsidRPr="00BB1DA8" w:rsidRDefault="00BB1DA8" w:rsidP="00BB1DA8">
      <w:pPr>
        <w:pStyle w:val="af0"/>
        <w:widowControl w:val="0"/>
        <w:numPr>
          <w:ilvl w:val="0"/>
          <w:numId w:val="31"/>
        </w:numPr>
        <w:shd w:val="clear" w:color="auto" w:fill="FFFFFF" w:themeFill="background1"/>
        <w:autoSpaceDE w:val="0"/>
        <w:autoSpaceDN w:val="0"/>
        <w:jc w:val="both"/>
        <w:rPr>
          <w:color w:val="242424"/>
          <w:lang w:val="uk-UA"/>
        </w:rPr>
      </w:pPr>
      <w:r w:rsidRPr="00BB1DA8">
        <w:rPr>
          <w:color w:val="242424"/>
          <w:lang w:val="uk-UA"/>
        </w:rPr>
        <w:t>сума отриманого та використаного цільового фінансування -   9 000 000 000 грн ;</w:t>
      </w:r>
    </w:p>
    <w:p w14:paraId="6A192997" w14:textId="0B5B98BE" w:rsidR="00BB1DA8" w:rsidRPr="00BB1DA8" w:rsidRDefault="00BB1DA8" w:rsidP="00BB1DA8">
      <w:pPr>
        <w:pStyle w:val="af0"/>
        <w:widowControl w:val="0"/>
        <w:numPr>
          <w:ilvl w:val="0"/>
          <w:numId w:val="31"/>
        </w:numPr>
        <w:shd w:val="clear" w:color="auto" w:fill="FFFFFF" w:themeFill="background1"/>
        <w:autoSpaceDE w:val="0"/>
        <w:autoSpaceDN w:val="0"/>
        <w:jc w:val="both"/>
        <w:rPr>
          <w:lang w:val="uk-UA"/>
        </w:rPr>
      </w:pPr>
      <w:r w:rsidRPr="00BB1DA8">
        <w:rPr>
          <w:color w:val="242424"/>
          <w:lang w:val="uk-UA"/>
        </w:rPr>
        <w:t>кількість папок для перевірки  800</w:t>
      </w:r>
      <w:r w:rsidR="00A474B7">
        <w:rPr>
          <w:color w:val="242424"/>
          <w:lang w:val="uk-UA"/>
        </w:rPr>
        <w:t xml:space="preserve"> </w:t>
      </w:r>
      <w:r w:rsidRPr="00BB1DA8">
        <w:rPr>
          <w:color w:val="242424"/>
          <w:lang w:val="uk-UA"/>
        </w:rPr>
        <w:t>-1000</w:t>
      </w:r>
      <w:r w:rsidR="00A474B7">
        <w:rPr>
          <w:color w:val="242424"/>
          <w:lang w:val="uk-UA"/>
        </w:rPr>
        <w:t>.</w:t>
      </w:r>
    </w:p>
    <w:p w14:paraId="625D708E" w14:textId="77777777" w:rsidR="00BB1DA8" w:rsidRPr="00BB1DA8" w:rsidRDefault="00BB1DA8" w:rsidP="00BB1DA8">
      <w:pPr>
        <w:shd w:val="clear" w:color="auto" w:fill="FFFFFF" w:themeFill="background1"/>
        <w:jc w:val="both"/>
        <w:rPr>
          <w:lang w:val="uk-UA"/>
        </w:rPr>
      </w:pPr>
      <w:r w:rsidRPr="00BB1DA8">
        <w:rPr>
          <w:lang w:val="uk-UA"/>
        </w:rPr>
        <w:t xml:space="preserve">6.  Консолідована фінансова звітність ТЧХУ, включає фінансову звітність: </w:t>
      </w:r>
    </w:p>
    <w:p w14:paraId="35B3D1E0" w14:textId="77777777" w:rsidR="00BB1DA8" w:rsidRPr="00BB1DA8" w:rsidRDefault="00BB1DA8" w:rsidP="00BB1DA8">
      <w:pPr>
        <w:pStyle w:val="af0"/>
        <w:widowControl w:val="0"/>
        <w:numPr>
          <w:ilvl w:val="0"/>
          <w:numId w:val="35"/>
        </w:numPr>
        <w:shd w:val="clear" w:color="auto" w:fill="FFFFFF" w:themeFill="background1"/>
        <w:autoSpaceDE w:val="0"/>
        <w:autoSpaceDN w:val="0"/>
        <w:jc w:val="both"/>
        <w:rPr>
          <w:lang w:val="uk-UA"/>
        </w:rPr>
      </w:pPr>
      <w:r w:rsidRPr="00BB1DA8">
        <w:rPr>
          <w:lang w:val="uk-UA"/>
        </w:rPr>
        <w:t>ТЧХУ;</w:t>
      </w:r>
    </w:p>
    <w:p w14:paraId="4E87537E" w14:textId="52E7617C" w:rsidR="00BB1DA8" w:rsidRPr="00BB1DA8" w:rsidRDefault="00BB1DA8" w:rsidP="00BB1DA8">
      <w:pPr>
        <w:pStyle w:val="af0"/>
        <w:widowControl w:val="0"/>
        <w:numPr>
          <w:ilvl w:val="0"/>
          <w:numId w:val="30"/>
        </w:numPr>
        <w:autoSpaceDE w:val="0"/>
        <w:autoSpaceDN w:val="0"/>
        <w:jc w:val="both"/>
        <w:rPr>
          <w:lang w:val="uk-UA"/>
        </w:rPr>
      </w:pPr>
      <w:r w:rsidRPr="00BB1DA8">
        <w:rPr>
          <w:lang w:val="uk-UA"/>
        </w:rPr>
        <w:t xml:space="preserve">дочірніх підприємств, засновником, яких є ТЧХУ </w:t>
      </w:r>
      <w:r w:rsidR="00282362">
        <w:rPr>
          <w:lang w:val="uk-UA"/>
        </w:rPr>
        <w:t xml:space="preserve">- </w:t>
      </w:r>
      <w:r w:rsidRPr="00BB1DA8">
        <w:rPr>
          <w:lang w:val="uk-UA"/>
        </w:rPr>
        <w:t>4 юридичні особи.</w:t>
      </w:r>
    </w:p>
    <w:p w14:paraId="389AEFCD" w14:textId="77777777" w:rsidR="00BB1DA8" w:rsidRPr="00BB1DA8" w:rsidRDefault="00BB1DA8" w:rsidP="0057722D">
      <w:pPr>
        <w:spacing w:line="259" w:lineRule="auto"/>
        <w:ind w:firstLine="284"/>
        <w:jc w:val="both"/>
        <w:rPr>
          <w:lang w:val="uk-UA"/>
        </w:rPr>
      </w:pPr>
      <w:r w:rsidRPr="00BB1DA8">
        <w:rPr>
          <w:lang w:val="uk-UA"/>
        </w:rPr>
        <w:t>6.1. Орієнтовні дані по операціям дочірніх підприємств за 2024 рік:</w:t>
      </w:r>
    </w:p>
    <w:tbl>
      <w:tblPr>
        <w:tblW w:w="9906" w:type="dxa"/>
        <w:tblInd w:w="284" w:type="dxa"/>
        <w:tblLayout w:type="fixed"/>
        <w:tblLook w:val="06A0" w:firstRow="1" w:lastRow="0" w:firstColumn="1" w:lastColumn="0" w:noHBand="1" w:noVBand="1"/>
      </w:tblPr>
      <w:tblGrid>
        <w:gridCol w:w="9906"/>
      </w:tblGrid>
      <w:tr w:rsidR="00BB1DA8" w:rsidRPr="00BB1DA8" w14:paraId="154A2FE7" w14:textId="77777777" w:rsidTr="0057722D">
        <w:trPr>
          <w:trHeight w:val="285"/>
        </w:trPr>
        <w:tc>
          <w:tcPr>
            <w:tcW w:w="9906" w:type="dxa"/>
            <w:tcBorders>
              <w:top w:val="nil"/>
              <w:left w:val="nil"/>
              <w:bottom w:val="nil"/>
              <w:right w:val="nil"/>
            </w:tcBorders>
            <w:tcMar>
              <w:top w:w="15" w:type="dxa"/>
              <w:left w:w="15" w:type="dxa"/>
              <w:right w:w="15" w:type="dxa"/>
            </w:tcMar>
            <w:vAlign w:val="center"/>
          </w:tcPr>
          <w:p w14:paraId="2AEE5BF2" w14:textId="4D00AD60" w:rsidR="00BB1DA8" w:rsidRPr="00BB1DA8" w:rsidRDefault="00BB1DA8" w:rsidP="0057722D">
            <w:pPr>
              <w:ind w:firstLine="567"/>
              <w:rPr>
                <w:color w:val="242424"/>
                <w:lang w:val="uk-UA"/>
              </w:rPr>
            </w:pPr>
            <w:r w:rsidRPr="00BB1DA8">
              <w:rPr>
                <w:color w:val="242424"/>
                <w:lang w:val="uk-UA"/>
              </w:rPr>
              <w:t>1 ДП</w:t>
            </w:r>
            <w:r w:rsidR="00A543D0">
              <w:rPr>
                <w:color w:val="242424"/>
                <w:lang w:val="uk-UA"/>
              </w:rPr>
              <w:t xml:space="preserve"> </w:t>
            </w:r>
            <w:r w:rsidRPr="00BB1DA8">
              <w:rPr>
                <w:color w:val="242424"/>
                <w:lang w:val="uk-UA"/>
              </w:rPr>
              <w:t xml:space="preserve">- 700 операцій, папок 15 </w:t>
            </w:r>
            <w:proofErr w:type="spellStart"/>
            <w:r w:rsidRPr="00BB1DA8">
              <w:rPr>
                <w:color w:val="242424"/>
                <w:lang w:val="uk-UA"/>
              </w:rPr>
              <w:t>шт</w:t>
            </w:r>
            <w:proofErr w:type="spellEnd"/>
            <w:r w:rsidRPr="00BB1DA8">
              <w:rPr>
                <w:color w:val="242424"/>
                <w:lang w:val="uk-UA"/>
              </w:rPr>
              <w:t>, фінансування 28 029 тис. грн., активи 300 тис. грн.</w:t>
            </w:r>
          </w:p>
        </w:tc>
      </w:tr>
      <w:tr w:rsidR="00BB1DA8" w:rsidRPr="00BB1DA8" w14:paraId="10A88CD2" w14:textId="77777777" w:rsidTr="0057722D">
        <w:trPr>
          <w:trHeight w:val="285"/>
        </w:trPr>
        <w:tc>
          <w:tcPr>
            <w:tcW w:w="9906" w:type="dxa"/>
            <w:tcBorders>
              <w:top w:val="nil"/>
              <w:left w:val="nil"/>
              <w:bottom w:val="nil"/>
              <w:right w:val="nil"/>
            </w:tcBorders>
            <w:tcMar>
              <w:top w:w="15" w:type="dxa"/>
              <w:left w:w="15" w:type="dxa"/>
              <w:right w:w="15" w:type="dxa"/>
            </w:tcMar>
            <w:vAlign w:val="center"/>
          </w:tcPr>
          <w:p w14:paraId="5A1C745A" w14:textId="77777777" w:rsidR="00BB1DA8" w:rsidRPr="00BB1DA8" w:rsidRDefault="00BB1DA8" w:rsidP="0057722D">
            <w:pPr>
              <w:ind w:firstLine="567"/>
              <w:rPr>
                <w:color w:val="242424"/>
                <w:lang w:val="uk-UA"/>
              </w:rPr>
            </w:pPr>
            <w:r w:rsidRPr="00BB1DA8">
              <w:rPr>
                <w:color w:val="242424"/>
                <w:lang w:val="uk-UA"/>
              </w:rPr>
              <w:t xml:space="preserve">2 ДП -  9000 операцій, папок 30 </w:t>
            </w:r>
            <w:proofErr w:type="spellStart"/>
            <w:r w:rsidRPr="00BB1DA8">
              <w:rPr>
                <w:color w:val="242424"/>
                <w:lang w:val="uk-UA"/>
              </w:rPr>
              <w:t>шт</w:t>
            </w:r>
            <w:proofErr w:type="spellEnd"/>
            <w:r w:rsidRPr="00BB1DA8">
              <w:rPr>
                <w:color w:val="242424"/>
                <w:lang w:val="uk-UA"/>
              </w:rPr>
              <w:t>, активів 2 млн. грн.</w:t>
            </w:r>
          </w:p>
        </w:tc>
      </w:tr>
      <w:tr w:rsidR="00BB1DA8" w:rsidRPr="00BB1DA8" w14:paraId="00E7D4C4" w14:textId="77777777" w:rsidTr="0057722D">
        <w:trPr>
          <w:trHeight w:val="285"/>
        </w:trPr>
        <w:tc>
          <w:tcPr>
            <w:tcW w:w="9906" w:type="dxa"/>
            <w:tcBorders>
              <w:top w:val="nil"/>
              <w:left w:val="nil"/>
              <w:bottom w:val="nil"/>
              <w:right w:val="nil"/>
            </w:tcBorders>
            <w:tcMar>
              <w:top w:w="15" w:type="dxa"/>
              <w:left w:w="15" w:type="dxa"/>
              <w:right w:w="15" w:type="dxa"/>
            </w:tcMar>
            <w:vAlign w:val="center"/>
          </w:tcPr>
          <w:p w14:paraId="2D2F0BE3" w14:textId="6188E847" w:rsidR="00BB1DA8" w:rsidRPr="00BB1DA8" w:rsidRDefault="00BB1DA8" w:rsidP="0057722D">
            <w:pPr>
              <w:ind w:firstLine="567"/>
              <w:rPr>
                <w:color w:val="242424"/>
                <w:lang w:val="uk-UA"/>
              </w:rPr>
            </w:pPr>
            <w:r w:rsidRPr="00BB1DA8">
              <w:rPr>
                <w:color w:val="242424"/>
                <w:lang w:val="uk-UA"/>
              </w:rPr>
              <w:t xml:space="preserve">3 ДП </w:t>
            </w:r>
            <w:r w:rsidR="00D0571D">
              <w:rPr>
                <w:color w:val="242424"/>
                <w:lang w:val="uk-UA"/>
              </w:rPr>
              <w:t>–</w:t>
            </w:r>
            <w:r w:rsidRPr="00BB1DA8">
              <w:rPr>
                <w:color w:val="242424"/>
                <w:lang w:val="uk-UA"/>
              </w:rPr>
              <w:t xml:space="preserve"> </w:t>
            </w:r>
            <w:r w:rsidR="00D0571D" w:rsidRPr="00BB1DA8">
              <w:rPr>
                <w:color w:val="242424"/>
                <w:lang w:val="uk-UA"/>
              </w:rPr>
              <w:t>5000</w:t>
            </w:r>
            <w:r w:rsidR="00D0571D">
              <w:rPr>
                <w:color w:val="242424"/>
                <w:lang w:val="uk-UA"/>
              </w:rPr>
              <w:t xml:space="preserve"> операцій, </w:t>
            </w:r>
            <w:r w:rsidRPr="00BB1DA8">
              <w:rPr>
                <w:color w:val="242424"/>
                <w:lang w:val="uk-UA"/>
              </w:rPr>
              <w:t xml:space="preserve">папок 30 </w:t>
            </w:r>
            <w:proofErr w:type="spellStart"/>
            <w:r w:rsidRPr="00BB1DA8">
              <w:rPr>
                <w:color w:val="242424"/>
                <w:lang w:val="uk-UA"/>
              </w:rPr>
              <w:t>шт</w:t>
            </w:r>
            <w:proofErr w:type="spellEnd"/>
            <w:r w:rsidRPr="00BB1DA8">
              <w:rPr>
                <w:color w:val="242424"/>
                <w:lang w:val="uk-UA"/>
              </w:rPr>
              <w:t>, активів 200 тис</w:t>
            </w:r>
            <w:r w:rsidR="00D0571D">
              <w:rPr>
                <w:color w:val="242424"/>
                <w:lang w:val="uk-UA"/>
              </w:rPr>
              <w:t>.</w:t>
            </w:r>
            <w:r w:rsidRPr="00BB1DA8">
              <w:rPr>
                <w:color w:val="242424"/>
                <w:lang w:val="uk-UA"/>
              </w:rPr>
              <w:t xml:space="preserve"> грн</w:t>
            </w:r>
            <w:r w:rsidR="00D0571D">
              <w:rPr>
                <w:color w:val="242424"/>
                <w:lang w:val="uk-UA"/>
              </w:rPr>
              <w:t>.</w:t>
            </w:r>
          </w:p>
        </w:tc>
      </w:tr>
      <w:tr w:rsidR="00BB1DA8" w:rsidRPr="004034C4" w14:paraId="56824186" w14:textId="77777777" w:rsidTr="0057722D">
        <w:trPr>
          <w:trHeight w:val="285"/>
        </w:trPr>
        <w:tc>
          <w:tcPr>
            <w:tcW w:w="9906" w:type="dxa"/>
            <w:tcBorders>
              <w:top w:val="nil"/>
              <w:left w:val="nil"/>
              <w:bottom w:val="nil"/>
              <w:right w:val="nil"/>
            </w:tcBorders>
            <w:tcMar>
              <w:top w:w="15" w:type="dxa"/>
              <w:left w:w="15" w:type="dxa"/>
              <w:right w:w="15" w:type="dxa"/>
            </w:tcMar>
            <w:vAlign w:val="center"/>
          </w:tcPr>
          <w:p w14:paraId="58DA19C0" w14:textId="2973AD46" w:rsidR="00BB1DA8" w:rsidRPr="004034C4" w:rsidRDefault="0057722D" w:rsidP="00CF105C">
            <w:pPr>
              <w:rPr>
                <w:color w:val="242424"/>
                <w:lang w:val="uk-UA"/>
              </w:rPr>
            </w:pPr>
            <w:r>
              <w:rPr>
                <w:color w:val="242424"/>
                <w:lang w:val="uk-UA"/>
              </w:rPr>
              <w:t xml:space="preserve">         </w:t>
            </w:r>
            <w:r w:rsidR="00BB1DA8" w:rsidRPr="004034C4">
              <w:rPr>
                <w:color w:val="242424"/>
                <w:lang w:val="uk-UA"/>
              </w:rPr>
              <w:t>4 ДП -  – тільки починає працювати, тільки зарплата директора поки.</w:t>
            </w:r>
          </w:p>
          <w:p w14:paraId="421ABD95" w14:textId="77777777" w:rsidR="00BB1DA8" w:rsidRPr="004034C4" w:rsidRDefault="00BB1DA8" w:rsidP="00CF105C">
            <w:pPr>
              <w:rPr>
                <w:color w:val="242424"/>
                <w:lang w:val="uk-UA"/>
              </w:rPr>
            </w:pPr>
          </w:p>
          <w:p w14:paraId="16E7D27A" w14:textId="77777777" w:rsidR="00BB1DA8" w:rsidRPr="004034C4" w:rsidRDefault="00BB1DA8" w:rsidP="00CF105C">
            <w:pPr>
              <w:rPr>
                <w:color w:val="242424"/>
                <w:lang w:val="uk-UA"/>
              </w:rPr>
            </w:pPr>
            <w:r w:rsidRPr="004034C4">
              <w:rPr>
                <w:color w:val="242424"/>
                <w:lang w:val="uk-UA"/>
              </w:rPr>
              <w:t>6.2. Перелік юридичних  осіб до консолідації може бути збільшений  за окремо погодженим сторонами графіком та з фіксованою вартістю години, що не має перевищувати вартість базової пропозиції.</w:t>
            </w:r>
          </w:p>
        </w:tc>
      </w:tr>
    </w:tbl>
    <w:p w14:paraId="3AEDF39C" w14:textId="77777777" w:rsidR="005371AD" w:rsidRPr="004034C4" w:rsidRDefault="005371AD" w:rsidP="00BB1DA8">
      <w:pPr>
        <w:spacing w:line="259" w:lineRule="auto"/>
        <w:jc w:val="both"/>
        <w:rPr>
          <w:lang w:val="uk-UA"/>
        </w:rPr>
      </w:pPr>
    </w:p>
    <w:p w14:paraId="5E189C27" w14:textId="52011C74" w:rsidR="00BB1DA8" w:rsidRPr="004034C4" w:rsidRDefault="005371AD" w:rsidP="00D03AB0">
      <w:pPr>
        <w:spacing w:line="360" w:lineRule="auto"/>
        <w:jc w:val="both"/>
        <w:rPr>
          <w:lang w:val="uk-UA"/>
        </w:rPr>
      </w:pPr>
      <w:r w:rsidRPr="004034C4">
        <w:rPr>
          <w:lang w:val="uk-UA"/>
        </w:rPr>
        <w:t xml:space="preserve">7. </w:t>
      </w:r>
      <w:bookmarkStart w:id="7" w:name="_Hlk185498636"/>
      <w:r w:rsidR="00BB4FFD" w:rsidRPr="004034C4">
        <w:rPr>
          <w:color w:val="000000" w:themeColor="text1"/>
          <w:lang w:val="uk-UA"/>
        </w:rPr>
        <w:t>Обсяг операцій та папок на 2025 і 2026 роки заплановано на рівні показників 2024 року</w:t>
      </w:r>
      <w:bookmarkEnd w:id="7"/>
      <w:r w:rsidR="00BB4FFD" w:rsidRPr="004034C4">
        <w:rPr>
          <w:color w:val="000000" w:themeColor="text1"/>
        </w:rPr>
        <w:t>.</w:t>
      </w:r>
    </w:p>
    <w:p w14:paraId="712B6246" w14:textId="2E524F0C" w:rsidR="00BB1DA8" w:rsidRPr="004034C4" w:rsidRDefault="005371AD" w:rsidP="00BB1DA8">
      <w:pPr>
        <w:spacing w:after="160" w:line="259" w:lineRule="auto"/>
        <w:jc w:val="both"/>
        <w:rPr>
          <w:color w:val="000000" w:themeColor="text1"/>
          <w:lang w:val="uk-UA"/>
        </w:rPr>
      </w:pPr>
      <w:r w:rsidRPr="004034C4">
        <w:rPr>
          <w:color w:val="000000" w:themeColor="text1"/>
          <w:lang w:val="uk-UA"/>
        </w:rPr>
        <w:t>8</w:t>
      </w:r>
      <w:r w:rsidR="00BB1DA8" w:rsidRPr="004034C4">
        <w:rPr>
          <w:color w:val="000000" w:themeColor="text1"/>
          <w:lang w:val="uk-UA"/>
        </w:rPr>
        <w:t>. Звіт незалежного аудитора складається українською та англійською мовами.</w:t>
      </w:r>
    </w:p>
    <w:p w14:paraId="3D1E5D11" w14:textId="77777777" w:rsidR="00BB1DA8" w:rsidRPr="004034C4" w:rsidRDefault="00BB1DA8" w:rsidP="00BB1DA8">
      <w:pPr>
        <w:pStyle w:val="af0"/>
        <w:widowControl w:val="0"/>
        <w:numPr>
          <w:ilvl w:val="0"/>
          <w:numId w:val="33"/>
        </w:numPr>
        <w:autoSpaceDE w:val="0"/>
        <w:autoSpaceDN w:val="0"/>
        <w:spacing w:after="160" w:line="259" w:lineRule="auto"/>
        <w:jc w:val="both"/>
        <w:rPr>
          <w:rFonts w:eastAsia="Calibri"/>
          <w:b/>
          <w:bCs/>
          <w:lang w:val="uk-UA"/>
        </w:rPr>
      </w:pPr>
      <w:r w:rsidRPr="004034C4" w:rsidDel="12B806FB">
        <w:rPr>
          <w:rFonts w:eastAsia="Calibri"/>
          <w:b/>
          <w:bCs/>
          <w:lang w:val="uk-UA"/>
        </w:rPr>
        <w:t xml:space="preserve">В </w:t>
      </w:r>
      <w:r w:rsidRPr="004034C4">
        <w:rPr>
          <w:rFonts w:eastAsia="Calibri"/>
          <w:b/>
          <w:bCs/>
          <w:lang w:val="uk-UA"/>
        </w:rPr>
        <w:t>аудиторському звіті за результатами аудиту Товариства має бути наведена така інформація:</w:t>
      </w:r>
    </w:p>
    <w:p w14:paraId="50E53A67"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повне найменування юридичної особи; склад фінансової звітності, звітний період та дата, на яку вона складена; також зазначається - відповідно до яких стандартів складено фінансову (міжнародних стандартів фінансової звітності);</w:t>
      </w:r>
    </w:p>
    <w:p w14:paraId="04FE6A79"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lastRenderedPageBreak/>
        <w:t>твердження про застосування міжнародних стандартів аудиту;</w:t>
      </w:r>
    </w:p>
    <w:p w14:paraId="2F474A66"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в усіх суттєвих</w:t>
      </w:r>
      <w:r w:rsidRPr="00BB1DA8">
        <w:rPr>
          <w:rFonts w:ascii="Calibri" w:eastAsia="Calibri" w:hAnsi="Calibri"/>
          <w:lang w:val="uk-UA"/>
        </w:rPr>
        <w:t xml:space="preserve"> </w:t>
      </w:r>
      <w:r w:rsidRPr="00BB1DA8">
        <w:rPr>
          <w:rFonts w:eastAsia="Calibri"/>
          <w:lang w:val="uk-UA"/>
        </w:rPr>
        <w:t>аспектах достовірно та об’єктивно фінансову інформацію згідно з міжнародними стандартами фінансової звітності та відповідає вимогам законодавства з питань її складання. Якщо суб’єкт аудиторської діяльності не може висловити аудиторську думку, звіт повинен містити відмову від висловлення думки;</w:t>
      </w:r>
    </w:p>
    <w:p w14:paraId="5CFDE57F"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окремі питання, на які суб’єкт аудиторської діяльності вважає за доцільне звернути увагу, але які не вплинули на висловлену думку аудитора;</w:t>
      </w:r>
    </w:p>
    <w:p w14:paraId="135A2D0E"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про узгодженість фінансової інформації у звіті про управління, який складається відповідно до законодавства, з фінансовою звітністю за звітний період та/або з іншою інформацією, отриманою аудитором під час аудиту, а за наявності суттєвих викривлень у звіті про управління наводиться опис таких викривлень та їх характер;</w:t>
      </w:r>
    </w:p>
    <w:p w14:paraId="057F257E"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w:t>
      </w:r>
    </w:p>
    <w:p w14:paraId="79CDF71C" w14:textId="77777777" w:rsidR="00BB1DA8" w:rsidRPr="00BB1DA8" w:rsidRDefault="00BB1DA8" w:rsidP="00BB1DA8">
      <w:pPr>
        <w:pStyle w:val="af0"/>
        <w:widowControl w:val="0"/>
        <w:numPr>
          <w:ilvl w:val="0"/>
          <w:numId w:val="34"/>
        </w:numPr>
        <w:autoSpaceDE w:val="0"/>
        <w:autoSpaceDN w:val="0"/>
        <w:spacing w:after="160" w:line="259" w:lineRule="auto"/>
        <w:jc w:val="both"/>
        <w:rPr>
          <w:rFonts w:eastAsia="Calibri"/>
          <w:lang w:val="uk-UA"/>
        </w:rPr>
      </w:pPr>
      <w:r w:rsidRPr="00BB1DA8">
        <w:rPr>
          <w:rFonts w:eastAsia="Calibri"/>
          <w:lang w:val="uk-UA"/>
        </w:rPr>
        <w:t>основні відомості про суб’єкта аудиторської діяльності, що провів аудит (повне найменування, місцезнаходження, інформація про реєстрацію у Реєстрі).</w:t>
      </w:r>
    </w:p>
    <w:p w14:paraId="6D8DF10B" w14:textId="77777777" w:rsidR="00BB1DA8" w:rsidRPr="00BB1DA8" w:rsidRDefault="00BB1DA8" w:rsidP="00BB1DA8">
      <w:pPr>
        <w:spacing w:after="240"/>
        <w:ind w:left="284"/>
        <w:rPr>
          <w:rFonts w:eastAsia="MS Mincho"/>
          <w:b/>
          <w:lang w:val="uk-UA" w:eastAsia="ja-JP"/>
        </w:rPr>
      </w:pPr>
    </w:p>
    <w:p w14:paraId="09040F6A" w14:textId="77777777" w:rsidR="00BB1DA8" w:rsidRPr="00BB1DA8" w:rsidRDefault="00BB1DA8" w:rsidP="000B129C">
      <w:pPr>
        <w:rPr>
          <w:b/>
          <w:sz w:val="22"/>
          <w:szCs w:val="22"/>
          <w:lang w:val="uk-UA"/>
        </w:rPr>
      </w:pPr>
    </w:p>
    <w:p w14:paraId="7A78B8CA" w14:textId="77777777" w:rsidR="00C67C6D" w:rsidRPr="00BB1DA8" w:rsidRDefault="00C67C6D" w:rsidP="000B129C">
      <w:pPr>
        <w:rPr>
          <w:b/>
          <w:sz w:val="22"/>
          <w:szCs w:val="22"/>
          <w:lang w:val="uk-UA"/>
        </w:rPr>
      </w:pPr>
    </w:p>
    <w:p w14:paraId="04561592" w14:textId="77777777" w:rsidR="00C67C6D" w:rsidRPr="00BB1DA8" w:rsidRDefault="00C67C6D" w:rsidP="000B129C">
      <w:pPr>
        <w:rPr>
          <w:b/>
          <w:sz w:val="22"/>
          <w:szCs w:val="22"/>
          <w:lang w:val="uk-UA"/>
        </w:rPr>
      </w:pPr>
    </w:p>
    <w:p w14:paraId="75864300" w14:textId="77777777" w:rsidR="00C67C6D" w:rsidRPr="00BB1DA8" w:rsidRDefault="00C67C6D" w:rsidP="000B129C">
      <w:pPr>
        <w:rPr>
          <w:b/>
          <w:sz w:val="22"/>
          <w:szCs w:val="22"/>
          <w:lang w:val="uk-UA"/>
        </w:rPr>
      </w:pPr>
    </w:p>
    <w:p w14:paraId="3AC54359" w14:textId="77777777" w:rsidR="00C67C6D" w:rsidRPr="00BB1DA8" w:rsidRDefault="00C67C6D" w:rsidP="000B129C">
      <w:pPr>
        <w:rPr>
          <w:b/>
          <w:sz w:val="22"/>
          <w:szCs w:val="22"/>
          <w:lang w:val="uk-UA"/>
        </w:rPr>
      </w:pPr>
    </w:p>
    <w:p w14:paraId="3CB579FC" w14:textId="77777777" w:rsidR="00C67C6D" w:rsidRPr="00BB1DA8" w:rsidRDefault="00C67C6D" w:rsidP="000B129C">
      <w:pPr>
        <w:rPr>
          <w:b/>
          <w:sz w:val="22"/>
          <w:szCs w:val="22"/>
          <w:lang w:val="uk-UA"/>
        </w:rPr>
      </w:pPr>
    </w:p>
    <w:p w14:paraId="19158B6C" w14:textId="77777777" w:rsidR="00C67C6D" w:rsidRPr="00BB1DA8" w:rsidRDefault="00C67C6D" w:rsidP="000B129C">
      <w:pPr>
        <w:rPr>
          <w:b/>
          <w:sz w:val="22"/>
          <w:szCs w:val="22"/>
          <w:lang w:val="uk-UA"/>
        </w:rPr>
      </w:pPr>
    </w:p>
    <w:p w14:paraId="15E8682C" w14:textId="07EAFF3E" w:rsidR="00EA67E2" w:rsidRPr="00BB1DA8" w:rsidRDefault="00EA67E2" w:rsidP="00B16BB6">
      <w:pPr>
        <w:rPr>
          <w:color w:val="000000"/>
          <w:sz w:val="22"/>
          <w:szCs w:val="22"/>
          <w:lang w:val="uk-UA" w:eastAsia="uk-UA"/>
        </w:rPr>
      </w:pPr>
    </w:p>
    <w:sectPr w:rsidR="00EA67E2" w:rsidRPr="00BB1DA8" w:rsidSect="004E7D16">
      <w:headerReference w:type="default" r:id="rId18"/>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D8966" w14:textId="77777777" w:rsidR="003B6A08" w:rsidRDefault="003B6A08" w:rsidP="00B948CF">
      <w:r>
        <w:separator/>
      </w:r>
    </w:p>
  </w:endnote>
  <w:endnote w:type="continuationSeparator" w:id="0">
    <w:p w14:paraId="353A1D54" w14:textId="77777777" w:rsidR="003B6A08" w:rsidRDefault="003B6A08" w:rsidP="00B948CF">
      <w:r>
        <w:continuationSeparator/>
      </w:r>
    </w:p>
  </w:endnote>
  <w:endnote w:type="continuationNotice" w:id="1">
    <w:p w14:paraId="0BA0B0A9" w14:textId="77777777" w:rsidR="003B6A08" w:rsidRDefault="003B6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1068" w14:textId="77777777" w:rsidR="003B6A08" w:rsidRDefault="003B6A08" w:rsidP="00B948CF">
      <w:r>
        <w:separator/>
      </w:r>
    </w:p>
  </w:footnote>
  <w:footnote w:type="continuationSeparator" w:id="0">
    <w:p w14:paraId="48E491B0" w14:textId="77777777" w:rsidR="003B6A08" w:rsidRDefault="003B6A08" w:rsidP="00B948CF">
      <w:r>
        <w:continuationSeparator/>
      </w:r>
    </w:p>
  </w:footnote>
  <w:footnote w:type="continuationNotice" w:id="1">
    <w:p w14:paraId="75DBCC7C" w14:textId="77777777" w:rsidR="003B6A08" w:rsidRDefault="003B6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62E8623"/>
    <w:multiLevelType w:val="hybridMultilevel"/>
    <w:tmpl w:val="179C27EE"/>
    <w:lvl w:ilvl="0" w:tplc="597C50E4">
      <w:start w:val="1"/>
      <w:numFmt w:val="bullet"/>
      <w:lvlText w:val=""/>
      <w:lvlJc w:val="left"/>
      <w:pPr>
        <w:ind w:left="720" w:hanging="360"/>
      </w:pPr>
      <w:rPr>
        <w:rFonts w:ascii="Symbol" w:hAnsi="Symbol" w:hint="default"/>
      </w:rPr>
    </w:lvl>
    <w:lvl w:ilvl="1" w:tplc="B8F668B6">
      <w:start w:val="1"/>
      <w:numFmt w:val="bullet"/>
      <w:lvlText w:val="o"/>
      <w:lvlJc w:val="left"/>
      <w:pPr>
        <w:ind w:left="1440" w:hanging="360"/>
      </w:pPr>
      <w:rPr>
        <w:rFonts w:ascii="Courier New" w:hAnsi="Courier New" w:hint="default"/>
      </w:rPr>
    </w:lvl>
    <w:lvl w:ilvl="2" w:tplc="AD365C0A">
      <w:start w:val="1"/>
      <w:numFmt w:val="bullet"/>
      <w:lvlText w:val=""/>
      <w:lvlJc w:val="left"/>
      <w:pPr>
        <w:ind w:left="2160" w:hanging="360"/>
      </w:pPr>
      <w:rPr>
        <w:rFonts w:ascii="Wingdings" w:hAnsi="Wingdings" w:hint="default"/>
      </w:rPr>
    </w:lvl>
    <w:lvl w:ilvl="3" w:tplc="5C3606C4">
      <w:start w:val="1"/>
      <w:numFmt w:val="bullet"/>
      <w:lvlText w:val=""/>
      <w:lvlJc w:val="left"/>
      <w:pPr>
        <w:ind w:left="2880" w:hanging="360"/>
      </w:pPr>
      <w:rPr>
        <w:rFonts w:ascii="Symbol" w:hAnsi="Symbol" w:hint="default"/>
      </w:rPr>
    </w:lvl>
    <w:lvl w:ilvl="4" w:tplc="EDDA5B54">
      <w:start w:val="1"/>
      <w:numFmt w:val="bullet"/>
      <w:lvlText w:val="o"/>
      <w:lvlJc w:val="left"/>
      <w:pPr>
        <w:ind w:left="3600" w:hanging="360"/>
      </w:pPr>
      <w:rPr>
        <w:rFonts w:ascii="Courier New" w:hAnsi="Courier New" w:hint="default"/>
      </w:rPr>
    </w:lvl>
    <w:lvl w:ilvl="5" w:tplc="34923E4E">
      <w:start w:val="1"/>
      <w:numFmt w:val="bullet"/>
      <w:lvlText w:val=""/>
      <w:lvlJc w:val="left"/>
      <w:pPr>
        <w:ind w:left="4320" w:hanging="360"/>
      </w:pPr>
      <w:rPr>
        <w:rFonts w:ascii="Wingdings" w:hAnsi="Wingdings" w:hint="default"/>
      </w:rPr>
    </w:lvl>
    <w:lvl w:ilvl="6" w:tplc="B2F4D226">
      <w:start w:val="1"/>
      <w:numFmt w:val="bullet"/>
      <w:lvlText w:val=""/>
      <w:lvlJc w:val="left"/>
      <w:pPr>
        <w:ind w:left="5040" w:hanging="360"/>
      </w:pPr>
      <w:rPr>
        <w:rFonts w:ascii="Symbol" w:hAnsi="Symbol" w:hint="default"/>
      </w:rPr>
    </w:lvl>
    <w:lvl w:ilvl="7" w:tplc="988A669A">
      <w:start w:val="1"/>
      <w:numFmt w:val="bullet"/>
      <w:lvlText w:val="o"/>
      <w:lvlJc w:val="left"/>
      <w:pPr>
        <w:ind w:left="5760" w:hanging="360"/>
      </w:pPr>
      <w:rPr>
        <w:rFonts w:ascii="Courier New" w:hAnsi="Courier New" w:hint="default"/>
      </w:rPr>
    </w:lvl>
    <w:lvl w:ilvl="8" w:tplc="A7C8356A">
      <w:start w:val="1"/>
      <w:numFmt w:val="bullet"/>
      <w:lvlText w:val=""/>
      <w:lvlJc w:val="left"/>
      <w:pPr>
        <w:ind w:left="6480" w:hanging="360"/>
      </w:pPr>
      <w:rPr>
        <w:rFonts w:ascii="Wingdings" w:hAnsi="Wingdings" w:hint="default"/>
      </w:rPr>
    </w:lvl>
  </w:abstractNum>
  <w:abstractNum w:abstractNumId="3"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AD0B24"/>
    <w:multiLevelType w:val="hybridMultilevel"/>
    <w:tmpl w:val="D548ABA8"/>
    <w:lvl w:ilvl="0" w:tplc="C37C0AD0">
      <w:start w:val="1"/>
      <w:numFmt w:val="bullet"/>
      <w:lvlText w:val="-"/>
      <w:lvlJc w:val="left"/>
      <w:pPr>
        <w:ind w:left="1070" w:hanging="360"/>
      </w:pPr>
      <w:rPr>
        <w:rFonts w:ascii="Aptos" w:hAnsi="Aptos" w:hint="default"/>
      </w:rPr>
    </w:lvl>
    <w:lvl w:ilvl="1" w:tplc="1B42131A">
      <w:start w:val="1"/>
      <w:numFmt w:val="bullet"/>
      <w:lvlText w:val="o"/>
      <w:lvlJc w:val="left"/>
      <w:pPr>
        <w:ind w:left="1790" w:hanging="360"/>
      </w:pPr>
      <w:rPr>
        <w:rFonts w:ascii="Courier New" w:hAnsi="Courier New" w:hint="default"/>
      </w:rPr>
    </w:lvl>
    <w:lvl w:ilvl="2" w:tplc="487C0912">
      <w:start w:val="1"/>
      <w:numFmt w:val="bullet"/>
      <w:lvlText w:val=""/>
      <w:lvlJc w:val="left"/>
      <w:pPr>
        <w:ind w:left="2510" w:hanging="360"/>
      </w:pPr>
      <w:rPr>
        <w:rFonts w:ascii="Wingdings" w:hAnsi="Wingdings" w:hint="default"/>
      </w:rPr>
    </w:lvl>
    <w:lvl w:ilvl="3" w:tplc="54BC1D4A">
      <w:start w:val="1"/>
      <w:numFmt w:val="bullet"/>
      <w:lvlText w:val=""/>
      <w:lvlJc w:val="left"/>
      <w:pPr>
        <w:ind w:left="3230" w:hanging="360"/>
      </w:pPr>
      <w:rPr>
        <w:rFonts w:ascii="Symbol" w:hAnsi="Symbol" w:hint="default"/>
      </w:rPr>
    </w:lvl>
    <w:lvl w:ilvl="4" w:tplc="0F545AD4">
      <w:start w:val="1"/>
      <w:numFmt w:val="bullet"/>
      <w:lvlText w:val="o"/>
      <w:lvlJc w:val="left"/>
      <w:pPr>
        <w:ind w:left="3950" w:hanging="360"/>
      </w:pPr>
      <w:rPr>
        <w:rFonts w:ascii="Courier New" w:hAnsi="Courier New" w:hint="default"/>
      </w:rPr>
    </w:lvl>
    <w:lvl w:ilvl="5" w:tplc="08CCD928">
      <w:start w:val="1"/>
      <w:numFmt w:val="bullet"/>
      <w:lvlText w:val=""/>
      <w:lvlJc w:val="left"/>
      <w:pPr>
        <w:ind w:left="4670" w:hanging="360"/>
      </w:pPr>
      <w:rPr>
        <w:rFonts w:ascii="Wingdings" w:hAnsi="Wingdings" w:hint="default"/>
      </w:rPr>
    </w:lvl>
    <w:lvl w:ilvl="6" w:tplc="4DA883BA">
      <w:start w:val="1"/>
      <w:numFmt w:val="bullet"/>
      <w:lvlText w:val=""/>
      <w:lvlJc w:val="left"/>
      <w:pPr>
        <w:ind w:left="5390" w:hanging="360"/>
      </w:pPr>
      <w:rPr>
        <w:rFonts w:ascii="Symbol" w:hAnsi="Symbol" w:hint="default"/>
      </w:rPr>
    </w:lvl>
    <w:lvl w:ilvl="7" w:tplc="F7F06124">
      <w:start w:val="1"/>
      <w:numFmt w:val="bullet"/>
      <w:lvlText w:val="o"/>
      <w:lvlJc w:val="left"/>
      <w:pPr>
        <w:ind w:left="6110" w:hanging="360"/>
      </w:pPr>
      <w:rPr>
        <w:rFonts w:ascii="Courier New" w:hAnsi="Courier New" w:hint="default"/>
      </w:rPr>
    </w:lvl>
    <w:lvl w:ilvl="8" w:tplc="3A66C950">
      <w:start w:val="1"/>
      <w:numFmt w:val="bullet"/>
      <w:lvlText w:val=""/>
      <w:lvlJc w:val="left"/>
      <w:pPr>
        <w:ind w:left="6830" w:hanging="360"/>
      </w:pPr>
      <w:rPr>
        <w:rFonts w:ascii="Wingdings" w:hAnsi="Wingdings" w:hint="default"/>
      </w:rPr>
    </w:lvl>
  </w:abstractNum>
  <w:abstractNum w:abstractNumId="7" w15:restartNumberingAfterBreak="0">
    <w:nsid w:val="1CF234E3"/>
    <w:multiLevelType w:val="hybridMultilevel"/>
    <w:tmpl w:val="4EDCB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331D1799"/>
    <w:multiLevelType w:val="hybridMultilevel"/>
    <w:tmpl w:val="2030211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893919"/>
    <w:multiLevelType w:val="hybridMultilevel"/>
    <w:tmpl w:val="6D8E65D8"/>
    <w:lvl w:ilvl="0" w:tplc="74CAC462">
      <w:start w:val="1"/>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510919"/>
    <w:multiLevelType w:val="hybridMultilevel"/>
    <w:tmpl w:val="9A94A74A"/>
    <w:lvl w:ilvl="0" w:tplc="33DE4078">
      <w:start w:val="1"/>
      <w:numFmt w:val="bullet"/>
      <w:lvlText w:val=""/>
      <w:lvlJc w:val="left"/>
      <w:pPr>
        <w:ind w:left="720" w:hanging="360"/>
      </w:pPr>
      <w:rPr>
        <w:rFonts w:ascii="Symbol" w:hAnsi="Symbol" w:hint="default"/>
      </w:rPr>
    </w:lvl>
    <w:lvl w:ilvl="1" w:tplc="940C2094">
      <w:start w:val="1"/>
      <w:numFmt w:val="bullet"/>
      <w:lvlText w:val="o"/>
      <w:lvlJc w:val="left"/>
      <w:pPr>
        <w:ind w:left="1440" w:hanging="360"/>
      </w:pPr>
      <w:rPr>
        <w:rFonts w:ascii="Courier New" w:hAnsi="Courier New" w:hint="default"/>
      </w:rPr>
    </w:lvl>
    <w:lvl w:ilvl="2" w:tplc="0E2AB60E">
      <w:start w:val="1"/>
      <w:numFmt w:val="bullet"/>
      <w:lvlText w:val=""/>
      <w:lvlJc w:val="left"/>
      <w:pPr>
        <w:ind w:left="2160" w:hanging="360"/>
      </w:pPr>
      <w:rPr>
        <w:rFonts w:ascii="Wingdings" w:hAnsi="Wingdings" w:hint="default"/>
      </w:rPr>
    </w:lvl>
    <w:lvl w:ilvl="3" w:tplc="E4E4B064">
      <w:start w:val="1"/>
      <w:numFmt w:val="bullet"/>
      <w:lvlText w:val=""/>
      <w:lvlJc w:val="left"/>
      <w:pPr>
        <w:ind w:left="2880" w:hanging="360"/>
      </w:pPr>
      <w:rPr>
        <w:rFonts w:ascii="Symbol" w:hAnsi="Symbol" w:hint="default"/>
      </w:rPr>
    </w:lvl>
    <w:lvl w:ilvl="4" w:tplc="8CB21A50">
      <w:start w:val="1"/>
      <w:numFmt w:val="bullet"/>
      <w:lvlText w:val="o"/>
      <w:lvlJc w:val="left"/>
      <w:pPr>
        <w:ind w:left="3600" w:hanging="360"/>
      </w:pPr>
      <w:rPr>
        <w:rFonts w:ascii="Courier New" w:hAnsi="Courier New" w:hint="default"/>
      </w:rPr>
    </w:lvl>
    <w:lvl w:ilvl="5" w:tplc="D084DE90">
      <w:start w:val="1"/>
      <w:numFmt w:val="bullet"/>
      <w:lvlText w:val=""/>
      <w:lvlJc w:val="left"/>
      <w:pPr>
        <w:ind w:left="4320" w:hanging="360"/>
      </w:pPr>
      <w:rPr>
        <w:rFonts w:ascii="Wingdings" w:hAnsi="Wingdings" w:hint="default"/>
      </w:rPr>
    </w:lvl>
    <w:lvl w:ilvl="6" w:tplc="BD6A04A8">
      <w:start w:val="1"/>
      <w:numFmt w:val="bullet"/>
      <w:lvlText w:val=""/>
      <w:lvlJc w:val="left"/>
      <w:pPr>
        <w:ind w:left="5040" w:hanging="360"/>
      </w:pPr>
      <w:rPr>
        <w:rFonts w:ascii="Symbol" w:hAnsi="Symbol" w:hint="default"/>
      </w:rPr>
    </w:lvl>
    <w:lvl w:ilvl="7" w:tplc="E6169900">
      <w:start w:val="1"/>
      <w:numFmt w:val="bullet"/>
      <w:lvlText w:val="o"/>
      <w:lvlJc w:val="left"/>
      <w:pPr>
        <w:ind w:left="5760" w:hanging="360"/>
      </w:pPr>
      <w:rPr>
        <w:rFonts w:ascii="Courier New" w:hAnsi="Courier New" w:hint="default"/>
      </w:rPr>
    </w:lvl>
    <w:lvl w:ilvl="8" w:tplc="F95CC69E">
      <w:start w:val="1"/>
      <w:numFmt w:val="bullet"/>
      <w:lvlText w:val=""/>
      <w:lvlJc w:val="left"/>
      <w:pPr>
        <w:ind w:left="6480" w:hanging="360"/>
      </w:pPr>
      <w:rPr>
        <w:rFonts w:ascii="Wingdings" w:hAnsi="Wingdings" w:hint="default"/>
      </w:r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1E91854"/>
    <w:multiLevelType w:val="hybridMultilevel"/>
    <w:tmpl w:val="72EC4522"/>
    <w:lvl w:ilvl="0" w:tplc="C392738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BA7B11"/>
    <w:multiLevelType w:val="hybridMultilevel"/>
    <w:tmpl w:val="A6301D18"/>
    <w:lvl w:ilvl="0" w:tplc="C6CE761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311056688">
    <w:abstractNumId w:val="4"/>
  </w:num>
  <w:num w:numId="2" w16cid:durableId="1209225609">
    <w:abstractNumId w:val="1"/>
  </w:num>
  <w:num w:numId="3" w16cid:durableId="2140490910">
    <w:abstractNumId w:val="12"/>
  </w:num>
  <w:num w:numId="4" w16cid:durableId="1373579874">
    <w:abstractNumId w:val="25"/>
  </w:num>
  <w:num w:numId="5" w16cid:durableId="555745601">
    <w:abstractNumId w:val="27"/>
  </w:num>
  <w:num w:numId="6" w16cid:durableId="725567586">
    <w:abstractNumId w:val="30"/>
  </w:num>
  <w:num w:numId="7" w16cid:durableId="1595630758">
    <w:abstractNumId w:val="24"/>
  </w:num>
  <w:num w:numId="8" w16cid:durableId="336469480">
    <w:abstractNumId w:val="20"/>
  </w:num>
  <w:num w:numId="9" w16cid:durableId="1980643802">
    <w:abstractNumId w:val="23"/>
  </w:num>
  <w:num w:numId="10" w16cid:durableId="2041977314">
    <w:abstractNumId w:val="21"/>
  </w:num>
  <w:num w:numId="11" w16cid:durableId="1500076154">
    <w:abstractNumId w:val="16"/>
  </w:num>
  <w:num w:numId="12" w16cid:durableId="31619943">
    <w:abstractNumId w:val="31"/>
  </w:num>
  <w:num w:numId="13" w16cid:durableId="1361781468">
    <w:abstractNumId w:val="11"/>
  </w:num>
  <w:num w:numId="14" w16cid:durableId="370031542">
    <w:abstractNumId w:val="5"/>
  </w:num>
  <w:num w:numId="15" w16cid:durableId="1071852785">
    <w:abstractNumId w:val="8"/>
  </w:num>
  <w:num w:numId="16" w16cid:durableId="542669374">
    <w:abstractNumId w:val="29"/>
  </w:num>
  <w:num w:numId="17" w16cid:durableId="886719366">
    <w:abstractNumId w:val="14"/>
  </w:num>
  <w:num w:numId="18" w16cid:durableId="633679338">
    <w:abstractNumId w:val="15"/>
  </w:num>
  <w:num w:numId="19" w16cid:durableId="1309896046">
    <w:abstractNumId w:val="26"/>
  </w:num>
  <w:num w:numId="20" w16cid:durableId="1921986476">
    <w:abstractNumId w:val="3"/>
  </w:num>
  <w:num w:numId="21" w16cid:durableId="598562130">
    <w:abstractNumId w:val="32"/>
  </w:num>
  <w:num w:numId="22" w16cid:durableId="110633945">
    <w:abstractNumId w:val="28"/>
  </w:num>
  <w:num w:numId="23" w16cid:durableId="16469997">
    <w:abstractNumId w:val="34"/>
  </w:num>
  <w:num w:numId="24" w16cid:durableId="1249655854">
    <w:abstractNumId w:val="33"/>
  </w:num>
  <w:num w:numId="25" w16cid:durableId="697197521">
    <w:abstractNumId w:val="10"/>
  </w:num>
  <w:num w:numId="26" w16cid:durableId="349528681">
    <w:abstractNumId w:val="19"/>
  </w:num>
  <w:num w:numId="27" w16cid:durableId="1934510745">
    <w:abstractNumId w:val="9"/>
  </w:num>
  <w:num w:numId="28" w16cid:durableId="506482090">
    <w:abstractNumId w:val="6"/>
  </w:num>
  <w:num w:numId="29" w16cid:durableId="1784766363">
    <w:abstractNumId w:val="13"/>
  </w:num>
  <w:num w:numId="30" w16cid:durableId="1755516188">
    <w:abstractNumId w:val="18"/>
  </w:num>
  <w:num w:numId="31" w16cid:durableId="605117834">
    <w:abstractNumId w:val="2"/>
  </w:num>
  <w:num w:numId="32" w16cid:durableId="842279420">
    <w:abstractNumId w:val="17"/>
  </w:num>
  <w:num w:numId="33" w16cid:durableId="1740636385">
    <w:abstractNumId w:val="22"/>
  </w:num>
  <w:num w:numId="34" w16cid:durableId="1147165040">
    <w:abstractNumId w:val="35"/>
  </w:num>
  <w:num w:numId="35" w16cid:durableId="16861305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1609C"/>
    <w:rsid w:val="00016810"/>
    <w:rsid w:val="000210F9"/>
    <w:rsid w:val="00021549"/>
    <w:rsid w:val="00021E3D"/>
    <w:rsid w:val="0002329A"/>
    <w:rsid w:val="000249F4"/>
    <w:rsid w:val="00025E0A"/>
    <w:rsid w:val="0002696F"/>
    <w:rsid w:val="00027BB1"/>
    <w:rsid w:val="00030A91"/>
    <w:rsid w:val="00031455"/>
    <w:rsid w:val="00032088"/>
    <w:rsid w:val="0003635E"/>
    <w:rsid w:val="00040AFC"/>
    <w:rsid w:val="00044B48"/>
    <w:rsid w:val="000508B1"/>
    <w:rsid w:val="00050974"/>
    <w:rsid w:val="00052B37"/>
    <w:rsid w:val="0005379E"/>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87F54"/>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638B"/>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B26"/>
    <w:rsid w:val="00103C69"/>
    <w:rsid w:val="0010517A"/>
    <w:rsid w:val="00105BC7"/>
    <w:rsid w:val="00107255"/>
    <w:rsid w:val="00107BD4"/>
    <w:rsid w:val="00107C16"/>
    <w:rsid w:val="00107DD1"/>
    <w:rsid w:val="00111840"/>
    <w:rsid w:val="00112DDF"/>
    <w:rsid w:val="00114C08"/>
    <w:rsid w:val="00117B03"/>
    <w:rsid w:val="0012328E"/>
    <w:rsid w:val="001237BA"/>
    <w:rsid w:val="00124A87"/>
    <w:rsid w:val="00125975"/>
    <w:rsid w:val="00126314"/>
    <w:rsid w:val="00127905"/>
    <w:rsid w:val="00127F4C"/>
    <w:rsid w:val="00131745"/>
    <w:rsid w:val="00131B8B"/>
    <w:rsid w:val="0013219B"/>
    <w:rsid w:val="00133B02"/>
    <w:rsid w:val="00133BA0"/>
    <w:rsid w:val="0013438F"/>
    <w:rsid w:val="00134436"/>
    <w:rsid w:val="00143265"/>
    <w:rsid w:val="00143E8C"/>
    <w:rsid w:val="00143EA3"/>
    <w:rsid w:val="00144F82"/>
    <w:rsid w:val="00146A09"/>
    <w:rsid w:val="00147573"/>
    <w:rsid w:val="001520C0"/>
    <w:rsid w:val="001533A8"/>
    <w:rsid w:val="0015487A"/>
    <w:rsid w:val="001564A5"/>
    <w:rsid w:val="00157544"/>
    <w:rsid w:val="001576EA"/>
    <w:rsid w:val="00157CF5"/>
    <w:rsid w:val="001622E7"/>
    <w:rsid w:val="001632F1"/>
    <w:rsid w:val="00163562"/>
    <w:rsid w:val="00164CFA"/>
    <w:rsid w:val="00166E71"/>
    <w:rsid w:val="001676CE"/>
    <w:rsid w:val="001700D9"/>
    <w:rsid w:val="00171A86"/>
    <w:rsid w:val="001753C8"/>
    <w:rsid w:val="00175AC8"/>
    <w:rsid w:val="0017614A"/>
    <w:rsid w:val="0018192E"/>
    <w:rsid w:val="00182B5B"/>
    <w:rsid w:val="00182EA8"/>
    <w:rsid w:val="00183480"/>
    <w:rsid w:val="00183F60"/>
    <w:rsid w:val="0018701A"/>
    <w:rsid w:val="00193D14"/>
    <w:rsid w:val="0019766B"/>
    <w:rsid w:val="001A065E"/>
    <w:rsid w:val="001A070B"/>
    <w:rsid w:val="001A0901"/>
    <w:rsid w:val="001A296E"/>
    <w:rsid w:val="001A6815"/>
    <w:rsid w:val="001B003C"/>
    <w:rsid w:val="001B06EE"/>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DC2"/>
    <w:rsid w:val="001F6A84"/>
    <w:rsid w:val="00202350"/>
    <w:rsid w:val="002041FF"/>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54D2"/>
    <w:rsid w:val="00266926"/>
    <w:rsid w:val="00267116"/>
    <w:rsid w:val="00272D32"/>
    <w:rsid w:val="00274438"/>
    <w:rsid w:val="00274C4B"/>
    <w:rsid w:val="00276525"/>
    <w:rsid w:val="00281792"/>
    <w:rsid w:val="00282362"/>
    <w:rsid w:val="0028389A"/>
    <w:rsid w:val="00290170"/>
    <w:rsid w:val="002911D8"/>
    <w:rsid w:val="00292158"/>
    <w:rsid w:val="00292A3F"/>
    <w:rsid w:val="002932D0"/>
    <w:rsid w:val="00293A9A"/>
    <w:rsid w:val="00293F89"/>
    <w:rsid w:val="00295645"/>
    <w:rsid w:val="00296CE0"/>
    <w:rsid w:val="00297002"/>
    <w:rsid w:val="002A061E"/>
    <w:rsid w:val="002A4557"/>
    <w:rsid w:val="002A537E"/>
    <w:rsid w:val="002A685A"/>
    <w:rsid w:val="002B0ADC"/>
    <w:rsid w:val="002B1C36"/>
    <w:rsid w:val="002B2696"/>
    <w:rsid w:val="002B2A14"/>
    <w:rsid w:val="002B3C41"/>
    <w:rsid w:val="002B4F8B"/>
    <w:rsid w:val="002B6399"/>
    <w:rsid w:val="002B715D"/>
    <w:rsid w:val="002C1D11"/>
    <w:rsid w:val="002C4D8B"/>
    <w:rsid w:val="002D1932"/>
    <w:rsid w:val="002D322D"/>
    <w:rsid w:val="002D4687"/>
    <w:rsid w:val="002D65B5"/>
    <w:rsid w:val="002D65FA"/>
    <w:rsid w:val="002D7982"/>
    <w:rsid w:val="002E086B"/>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1E9"/>
    <w:rsid w:val="003428EC"/>
    <w:rsid w:val="0034299E"/>
    <w:rsid w:val="00344AE4"/>
    <w:rsid w:val="00344C51"/>
    <w:rsid w:val="00345290"/>
    <w:rsid w:val="00345379"/>
    <w:rsid w:val="00345ABF"/>
    <w:rsid w:val="00345B24"/>
    <w:rsid w:val="00347862"/>
    <w:rsid w:val="00347A20"/>
    <w:rsid w:val="003503D1"/>
    <w:rsid w:val="003531E2"/>
    <w:rsid w:val="00354C72"/>
    <w:rsid w:val="00360927"/>
    <w:rsid w:val="003615FF"/>
    <w:rsid w:val="00365375"/>
    <w:rsid w:val="00365B12"/>
    <w:rsid w:val="00370791"/>
    <w:rsid w:val="00370E6C"/>
    <w:rsid w:val="00372412"/>
    <w:rsid w:val="0037488D"/>
    <w:rsid w:val="00375F75"/>
    <w:rsid w:val="003764E5"/>
    <w:rsid w:val="00376A08"/>
    <w:rsid w:val="00380CB7"/>
    <w:rsid w:val="003810A3"/>
    <w:rsid w:val="00381D01"/>
    <w:rsid w:val="00382BBF"/>
    <w:rsid w:val="00382E88"/>
    <w:rsid w:val="0038419C"/>
    <w:rsid w:val="003848DA"/>
    <w:rsid w:val="00385239"/>
    <w:rsid w:val="003854D6"/>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6A08"/>
    <w:rsid w:val="003B744B"/>
    <w:rsid w:val="003C1135"/>
    <w:rsid w:val="003D0E2E"/>
    <w:rsid w:val="003D1C17"/>
    <w:rsid w:val="003D2935"/>
    <w:rsid w:val="003D2BDC"/>
    <w:rsid w:val="003D3900"/>
    <w:rsid w:val="003D4B0B"/>
    <w:rsid w:val="003D54B3"/>
    <w:rsid w:val="003D74A0"/>
    <w:rsid w:val="003E03A5"/>
    <w:rsid w:val="003E0FB2"/>
    <w:rsid w:val="003E1107"/>
    <w:rsid w:val="003E1495"/>
    <w:rsid w:val="003E2898"/>
    <w:rsid w:val="003E5269"/>
    <w:rsid w:val="003E5373"/>
    <w:rsid w:val="003E6309"/>
    <w:rsid w:val="003E6C8C"/>
    <w:rsid w:val="003E768D"/>
    <w:rsid w:val="003F00FB"/>
    <w:rsid w:val="003F0522"/>
    <w:rsid w:val="003F0539"/>
    <w:rsid w:val="003F20BE"/>
    <w:rsid w:val="003F4715"/>
    <w:rsid w:val="003F5B73"/>
    <w:rsid w:val="003F5F50"/>
    <w:rsid w:val="003F5FA5"/>
    <w:rsid w:val="003F5FB6"/>
    <w:rsid w:val="003F6114"/>
    <w:rsid w:val="003F7642"/>
    <w:rsid w:val="0040132F"/>
    <w:rsid w:val="00401753"/>
    <w:rsid w:val="004034C4"/>
    <w:rsid w:val="00405840"/>
    <w:rsid w:val="00407051"/>
    <w:rsid w:val="00407D9A"/>
    <w:rsid w:val="0041414C"/>
    <w:rsid w:val="00415FCD"/>
    <w:rsid w:val="004171D2"/>
    <w:rsid w:val="004201EE"/>
    <w:rsid w:val="00424868"/>
    <w:rsid w:val="004262E7"/>
    <w:rsid w:val="00426AAE"/>
    <w:rsid w:val="0042787A"/>
    <w:rsid w:val="00431021"/>
    <w:rsid w:val="00431B23"/>
    <w:rsid w:val="004344A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4E2E"/>
    <w:rsid w:val="004A5528"/>
    <w:rsid w:val="004A6AD7"/>
    <w:rsid w:val="004A7BFF"/>
    <w:rsid w:val="004B0808"/>
    <w:rsid w:val="004B3EA1"/>
    <w:rsid w:val="004B6A3A"/>
    <w:rsid w:val="004C026C"/>
    <w:rsid w:val="004C0310"/>
    <w:rsid w:val="004C2787"/>
    <w:rsid w:val="004C614C"/>
    <w:rsid w:val="004D12AF"/>
    <w:rsid w:val="004D15E6"/>
    <w:rsid w:val="004D3D53"/>
    <w:rsid w:val="004D77C7"/>
    <w:rsid w:val="004E374B"/>
    <w:rsid w:val="004E3E26"/>
    <w:rsid w:val="004E4B40"/>
    <w:rsid w:val="004E57A0"/>
    <w:rsid w:val="004E6062"/>
    <w:rsid w:val="004E6887"/>
    <w:rsid w:val="004E7B60"/>
    <w:rsid w:val="004E7D16"/>
    <w:rsid w:val="004F083E"/>
    <w:rsid w:val="004F2876"/>
    <w:rsid w:val="004F3F20"/>
    <w:rsid w:val="004F6A23"/>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2638"/>
    <w:rsid w:val="005335D7"/>
    <w:rsid w:val="00533926"/>
    <w:rsid w:val="00534905"/>
    <w:rsid w:val="00534B82"/>
    <w:rsid w:val="00535327"/>
    <w:rsid w:val="005371AD"/>
    <w:rsid w:val="005409DD"/>
    <w:rsid w:val="00541B5D"/>
    <w:rsid w:val="005423D4"/>
    <w:rsid w:val="005428ED"/>
    <w:rsid w:val="005432D6"/>
    <w:rsid w:val="00543F4F"/>
    <w:rsid w:val="00544151"/>
    <w:rsid w:val="00544648"/>
    <w:rsid w:val="00544F05"/>
    <w:rsid w:val="00545BF1"/>
    <w:rsid w:val="00545FFD"/>
    <w:rsid w:val="005515A5"/>
    <w:rsid w:val="0055168C"/>
    <w:rsid w:val="00553EF0"/>
    <w:rsid w:val="00556428"/>
    <w:rsid w:val="00556C6B"/>
    <w:rsid w:val="00557A29"/>
    <w:rsid w:val="00557AB4"/>
    <w:rsid w:val="005622AE"/>
    <w:rsid w:val="005629B6"/>
    <w:rsid w:val="00563442"/>
    <w:rsid w:val="0056345E"/>
    <w:rsid w:val="00564515"/>
    <w:rsid w:val="00565446"/>
    <w:rsid w:val="005658C8"/>
    <w:rsid w:val="005668F1"/>
    <w:rsid w:val="00570092"/>
    <w:rsid w:val="00571608"/>
    <w:rsid w:val="005740B8"/>
    <w:rsid w:val="0057722D"/>
    <w:rsid w:val="00577961"/>
    <w:rsid w:val="0058200F"/>
    <w:rsid w:val="00585B94"/>
    <w:rsid w:val="00587617"/>
    <w:rsid w:val="0058795C"/>
    <w:rsid w:val="0059286B"/>
    <w:rsid w:val="00593049"/>
    <w:rsid w:val="0059440E"/>
    <w:rsid w:val="00594518"/>
    <w:rsid w:val="00595AEF"/>
    <w:rsid w:val="005A2F73"/>
    <w:rsid w:val="005A36D1"/>
    <w:rsid w:val="005A5EA1"/>
    <w:rsid w:val="005A5F8A"/>
    <w:rsid w:val="005A67E2"/>
    <w:rsid w:val="005B147F"/>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4406"/>
    <w:rsid w:val="005F61DA"/>
    <w:rsid w:val="00604420"/>
    <w:rsid w:val="00605C06"/>
    <w:rsid w:val="00606075"/>
    <w:rsid w:val="006077CE"/>
    <w:rsid w:val="0061250E"/>
    <w:rsid w:val="00612B0A"/>
    <w:rsid w:val="00613AA9"/>
    <w:rsid w:val="00614161"/>
    <w:rsid w:val="00614E7A"/>
    <w:rsid w:val="00620844"/>
    <w:rsid w:val="0062122D"/>
    <w:rsid w:val="006218F7"/>
    <w:rsid w:val="006219D7"/>
    <w:rsid w:val="0062208D"/>
    <w:rsid w:val="00622A34"/>
    <w:rsid w:val="00623052"/>
    <w:rsid w:val="00623172"/>
    <w:rsid w:val="0062405B"/>
    <w:rsid w:val="00626BDF"/>
    <w:rsid w:val="00626D2C"/>
    <w:rsid w:val="00627058"/>
    <w:rsid w:val="00631D9F"/>
    <w:rsid w:val="006346C0"/>
    <w:rsid w:val="0063536D"/>
    <w:rsid w:val="0063537D"/>
    <w:rsid w:val="0063702C"/>
    <w:rsid w:val="006372E6"/>
    <w:rsid w:val="006401B2"/>
    <w:rsid w:val="006405E6"/>
    <w:rsid w:val="00643C64"/>
    <w:rsid w:val="006452FE"/>
    <w:rsid w:val="00646BAA"/>
    <w:rsid w:val="006506FD"/>
    <w:rsid w:val="006507BF"/>
    <w:rsid w:val="00650EF0"/>
    <w:rsid w:val="006543F5"/>
    <w:rsid w:val="00655A92"/>
    <w:rsid w:val="00656E1B"/>
    <w:rsid w:val="0065714E"/>
    <w:rsid w:val="00660B36"/>
    <w:rsid w:val="00660EA5"/>
    <w:rsid w:val="006628A5"/>
    <w:rsid w:val="0067076B"/>
    <w:rsid w:val="00677FF7"/>
    <w:rsid w:val="006827AF"/>
    <w:rsid w:val="0068315F"/>
    <w:rsid w:val="00684369"/>
    <w:rsid w:val="0068476B"/>
    <w:rsid w:val="00684BE6"/>
    <w:rsid w:val="006876AF"/>
    <w:rsid w:val="006908B5"/>
    <w:rsid w:val="0069223B"/>
    <w:rsid w:val="00693158"/>
    <w:rsid w:val="0069375E"/>
    <w:rsid w:val="0069387D"/>
    <w:rsid w:val="00694C96"/>
    <w:rsid w:val="00695831"/>
    <w:rsid w:val="00695BC1"/>
    <w:rsid w:val="00695C69"/>
    <w:rsid w:val="006A31AD"/>
    <w:rsid w:val="006A32B0"/>
    <w:rsid w:val="006A3AF2"/>
    <w:rsid w:val="006A40B5"/>
    <w:rsid w:val="006A70C8"/>
    <w:rsid w:val="006B004E"/>
    <w:rsid w:val="006B1FE2"/>
    <w:rsid w:val="006B2319"/>
    <w:rsid w:val="006C22B8"/>
    <w:rsid w:val="006C41C6"/>
    <w:rsid w:val="006C5B71"/>
    <w:rsid w:val="006D05EF"/>
    <w:rsid w:val="006D1224"/>
    <w:rsid w:val="006D14EE"/>
    <w:rsid w:val="006D2CFD"/>
    <w:rsid w:val="006D7227"/>
    <w:rsid w:val="006E2DC6"/>
    <w:rsid w:val="006E55DD"/>
    <w:rsid w:val="006E7BF0"/>
    <w:rsid w:val="006F07C6"/>
    <w:rsid w:val="006F0C6A"/>
    <w:rsid w:val="006F46D4"/>
    <w:rsid w:val="006F482D"/>
    <w:rsid w:val="006F48A8"/>
    <w:rsid w:val="006F670C"/>
    <w:rsid w:val="0070000F"/>
    <w:rsid w:val="007001F1"/>
    <w:rsid w:val="00700CFE"/>
    <w:rsid w:val="00701577"/>
    <w:rsid w:val="00705999"/>
    <w:rsid w:val="007068B0"/>
    <w:rsid w:val="00710153"/>
    <w:rsid w:val="0071131D"/>
    <w:rsid w:val="0071419A"/>
    <w:rsid w:val="007164C2"/>
    <w:rsid w:val="0071706E"/>
    <w:rsid w:val="00720923"/>
    <w:rsid w:val="00720A7E"/>
    <w:rsid w:val="00720D3B"/>
    <w:rsid w:val="007238CE"/>
    <w:rsid w:val="00726B48"/>
    <w:rsid w:val="00726F42"/>
    <w:rsid w:val="0072780B"/>
    <w:rsid w:val="00727FEC"/>
    <w:rsid w:val="00730478"/>
    <w:rsid w:val="007315BF"/>
    <w:rsid w:val="00731607"/>
    <w:rsid w:val="007325F2"/>
    <w:rsid w:val="00735590"/>
    <w:rsid w:val="00735B40"/>
    <w:rsid w:val="00735D22"/>
    <w:rsid w:val="00737698"/>
    <w:rsid w:val="00740F24"/>
    <w:rsid w:val="00744247"/>
    <w:rsid w:val="007445FA"/>
    <w:rsid w:val="00745B7B"/>
    <w:rsid w:val="00747015"/>
    <w:rsid w:val="007479D2"/>
    <w:rsid w:val="00750EE5"/>
    <w:rsid w:val="007525CF"/>
    <w:rsid w:val="00752AFD"/>
    <w:rsid w:val="007545FF"/>
    <w:rsid w:val="007552D8"/>
    <w:rsid w:val="0075615F"/>
    <w:rsid w:val="00756CEC"/>
    <w:rsid w:val="00761F71"/>
    <w:rsid w:val="00762436"/>
    <w:rsid w:val="007654D9"/>
    <w:rsid w:val="00765525"/>
    <w:rsid w:val="0076725A"/>
    <w:rsid w:val="007674AA"/>
    <w:rsid w:val="007676CD"/>
    <w:rsid w:val="00771F43"/>
    <w:rsid w:val="007754AE"/>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1300"/>
    <w:rsid w:val="007E57BE"/>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0AF"/>
    <w:rsid w:val="00860B6F"/>
    <w:rsid w:val="00860E5D"/>
    <w:rsid w:val="00862F06"/>
    <w:rsid w:val="00863867"/>
    <w:rsid w:val="0086519E"/>
    <w:rsid w:val="0086658F"/>
    <w:rsid w:val="00870049"/>
    <w:rsid w:val="00870DA1"/>
    <w:rsid w:val="0087128F"/>
    <w:rsid w:val="00875E2E"/>
    <w:rsid w:val="00876108"/>
    <w:rsid w:val="00876D29"/>
    <w:rsid w:val="008810A2"/>
    <w:rsid w:val="008838DD"/>
    <w:rsid w:val="00887059"/>
    <w:rsid w:val="00891401"/>
    <w:rsid w:val="008920EF"/>
    <w:rsid w:val="008971CE"/>
    <w:rsid w:val="008A1D0A"/>
    <w:rsid w:val="008A2C73"/>
    <w:rsid w:val="008A43A0"/>
    <w:rsid w:val="008A7FFD"/>
    <w:rsid w:val="008B0F0B"/>
    <w:rsid w:val="008B1875"/>
    <w:rsid w:val="008B1CFA"/>
    <w:rsid w:val="008B1F49"/>
    <w:rsid w:val="008B23EF"/>
    <w:rsid w:val="008B3EAA"/>
    <w:rsid w:val="008B43B4"/>
    <w:rsid w:val="008B51EB"/>
    <w:rsid w:val="008B5EAF"/>
    <w:rsid w:val="008B5EF5"/>
    <w:rsid w:val="008B6181"/>
    <w:rsid w:val="008C0EEE"/>
    <w:rsid w:val="008C2208"/>
    <w:rsid w:val="008C293C"/>
    <w:rsid w:val="008C3898"/>
    <w:rsid w:val="008C4FBD"/>
    <w:rsid w:val="008C745B"/>
    <w:rsid w:val="008C783A"/>
    <w:rsid w:val="008C7C5E"/>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8F79AF"/>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7440"/>
    <w:rsid w:val="00937CCC"/>
    <w:rsid w:val="0094156E"/>
    <w:rsid w:val="00943FB6"/>
    <w:rsid w:val="00944696"/>
    <w:rsid w:val="00945239"/>
    <w:rsid w:val="00945F7F"/>
    <w:rsid w:val="009470DF"/>
    <w:rsid w:val="00947CCF"/>
    <w:rsid w:val="00951705"/>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2F7F"/>
    <w:rsid w:val="009C389A"/>
    <w:rsid w:val="009C3D48"/>
    <w:rsid w:val="009C6970"/>
    <w:rsid w:val="009D1787"/>
    <w:rsid w:val="009D4140"/>
    <w:rsid w:val="009E0868"/>
    <w:rsid w:val="009E16A6"/>
    <w:rsid w:val="009E37BB"/>
    <w:rsid w:val="009E66A0"/>
    <w:rsid w:val="009E6AC7"/>
    <w:rsid w:val="009F1FAA"/>
    <w:rsid w:val="009F2507"/>
    <w:rsid w:val="009F6928"/>
    <w:rsid w:val="009F76B8"/>
    <w:rsid w:val="00A038BD"/>
    <w:rsid w:val="00A07B0B"/>
    <w:rsid w:val="00A116E6"/>
    <w:rsid w:val="00A12DE6"/>
    <w:rsid w:val="00A13694"/>
    <w:rsid w:val="00A160F6"/>
    <w:rsid w:val="00A21241"/>
    <w:rsid w:val="00A217DD"/>
    <w:rsid w:val="00A217DF"/>
    <w:rsid w:val="00A226D7"/>
    <w:rsid w:val="00A22DA4"/>
    <w:rsid w:val="00A2336D"/>
    <w:rsid w:val="00A24497"/>
    <w:rsid w:val="00A247C6"/>
    <w:rsid w:val="00A25978"/>
    <w:rsid w:val="00A30BC3"/>
    <w:rsid w:val="00A31613"/>
    <w:rsid w:val="00A3721F"/>
    <w:rsid w:val="00A37570"/>
    <w:rsid w:val="00A40190"/>
    <w:rsid w:val="00A474B7"/>
    <w:rsid w:val="00A476ED"/>
    <w:rsid w:val="00A50B45"/>
    <w:rsid w:val="00A514CD"/>
    <w:rsid w:val="00A526B6"/>
    <w:rsid w:val="00A52A59"/>
    <w:rsid w:val="00A543D0"/>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5DA2"/>
    <w:rsid w:val="00AA647B"/>
    <w:rsid w:val="00AA7CC9"/>
    <w:rsid w:val="00AB225E"/>
    <w:rsid w:val="00AB321F"/>
    <w:rsid w:val="00AB48B7"/>
    <w:rsid w:val="00AB5249"/>
    <w:rsid w:val="00AB6214"/>
    <w:rsid w:val="00AB7C32"/>
    <w:rsid w:val="00AC1603"/>
    <w:rsid w:val="00AC18AC"/>
    <w:rsid w:val="00AC3441"/>
    <w:rsid w:val="00AD0ED0"/>
    <w:rsid w:val="00AD29D5"/>
    <w:rsid w:val="00AD3B5F"/>
    <w:rsid w:val="00AD44EA"/>
    <w:rsid w:val="00AD4E31"/>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01A"/>
    <w:rsid w:val="00B02434"/>
    <w:rsid w:val="00B025ED"/>
    <w:rsid w:val="00B0305A"/>
    <w:rsid w:val="00B03533"/>
    <w:rsid w:val="00B04FE0"/>
    <w:rsid w:val="00B05A2A"/>
    <w:rsid w:val="00B06396"/>
    <w:rsid w:val="00B0762A"/>
    <w:rsid w:val="00B11D8B"/>
    <w:rsid w:val="00B12EC7"/>
    <w:rsid w:val="00B1350E"/>
    <w:rsid w:val="00B14636"/>
    <w:rsid w:val="00B14ABB"/>
    <w:rsid w:val="00B16BB6"/>
    <w:rsid w:val="00B207B4"/>
    <w:rsid w:val="00B2327F"/>
    <w:rsid w:val="00B238C9"/>
    <w:rsid w:val="00B245C9"/>
    <w:rsid w:val="00B257B6"/>
    <w:rsid w:val="00B25C9F"/>
    <w:rsid w:val="00B25D5F"/>
    <w:rsid w:val="00B2681F"/>
    <w:rsid w:val="00B268F3"/>
    <w:rsid w:val="00B27130"/>
    <w:rsid w:val="00B27389"/>
    <w:rsid w:val="00B27391"/>
    <w:rsid w:val="00B30170"/>
    <w:rsid w:val="00B30707"/>
    <w:rsid w:val="00B31D8A"/>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972"/>
    <w:rsid w:val="00B54AF6"/>
    <w:rsid w:val="00B6004E"/>
    <w:rsid w:val="00B65017"/>
    <w:rsid w:val="00B6674B"/>
    <w:rsid w:val="00B66F65"/>
    <w:rsid w:val="00B670E1"/>
    <w:rsid w:val="00B670ED"/>
    <w:rsid w:val="00B6755B"/>
    <w:rsid w:val="00B67735"/>
    <w:rsid w:val="00B678B2"/>
    <w:rsid w:val="00B67A1B"/>
    <w:rsid w:val="00B7051D"/>
    <w:rsid w:val="00B71867"/>
    <w:rsid w:val="00B75996"/>
    <w:rsid w:val="00B7622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1DA8"/>
    <w:rsid w:val="00BB2512"/>
    <w:rsid w:val="00BB27E9"/>
    <w:rsid w:val="00BB4FFD"/>
    <w:rsid w:val="00BB5C47"/>
    <w:rsid w:val="00BB6112"/>
    <w:rsid w:val="00BB7CC4"/>
    <w:rsid w:val="00BB7FB4"/>
    <w:rsid w:val="00BC0E85"/>
    <w:rsid w:val="00BC13F3"/>
    <w:rsid w:val="00BC7172"/>
    <w:rsid w:val="00BD0AE0"/>
    <w:rsid w:val="00BD0B5E"/>
    <w:rsid w:val="00BD4A0A"/>
    <w:rsid w:val="00BD5101"/>
    <w:rsid w:val="00BD5468"/>
    <w:rsid w:val="00BD6500"/>
    <w:rsid w:val="00BE0355"/>
    <w:rsid w:val="00BE163D"/>
    <w:rsid w:val="00BE1A6F"/>
    <w:rsid w:val="00BE360A"/>
    <w:rsid w:val="00BE3769"/>
    <w:rsid w:val="00BE37BB"/>
    <w:rsid w:val="00BE6452"/>
    <w:rsid w:val="00BE68EC"/>
    <w:rsid w:val="00BF2CA9"/>
    <w:rsid w:val="00BF2F32"/>
    <w:rsid w:val="00BF3BBE"/>
    <w:rsid w:val="00BF3E66"/>
    <w:rsid w:val="00BF418F"/>
    <w:rsid w:val="00BF5956"/>
    <w:rsid w:val="00BF5B4A"/>
    <w:rsid w:val="00BF5E47"/>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4D64"/>
    <w:rsid w:val="00C2564E"/>
    <w:rsid w:val="00C3043F"/>
    <w:rsid w:val="00C31377"/>
    <w:rsid w:val="00C3211C"/>
    <w:rsid w:val="00C33BE8"/>
    <w:rsid w:val="00C33DF7"/>
    <w:rsid w:val="00C35487"/>
    <w:rsid w:val="00C36C5D"/>
    <w:rsid w:val="00C40BA0"/>
    <w:rsid w:val="00C431A8"/>
    <w:rsid w:val="00C45A23"/>
    <w:rsid w:val="00C4609D"/>
    <w:rsid w:val="00C46313"/>
    <w:rsid w:val="00C4683A"/>
    <w:rsid w:val="00C526C6"/>
    <w:rsid w:val="00C52E14"/>
    <w:rsid w:val="00C5511A"/>
    <w:rsid w:val="00C55B2D"/>
    <w:rsid w:val="00C576E9"/>
    <w:rsid w:val="00C57E7B"/>
    <w:rsid w:val="00C57FC3"/>
    <w:rsid w:val="00C62565"/>
    <w:rsid w:val="00C67AC8"/>
    <w:rsid w:val="00C67C6D"/>
    <w:rsid w:val="00C716B6"/>
    <w:rsid w:val="00C72D2A"/>
    <w:rsid w:val="00C76645"/>
    <w:rsid w:val="00C7674A"/>
    <w:rsid w:val="00C774DD"/>
    <w:rsid w:val="00C77A27"/>
    <w:rsid w:val="00C77B64"/>
    <w:rsid w:val="00C80B9D"/>
    <w:rsid w:val="00C80DBB"/>
    <w:rsid w:val="00C81543"/>
    <w:rsid w:val="00C822E2"/>
    <w:rsid w:val="00C85EA9"/>
    <w:rsid w:val="00C877BB"/>
    <w:rsid w:val="00C879A4"/>
    <w:rsid w:val="00C87BE2"/>
    <w:rsid w:val="00C87DF8"/>
    <w:rsid w:val="00C93350"/>
    <w:rsid w:val="00C9414F"/>
    <w:rsid w:val="00C97732"/>
    <w:rsid w:val="00CA3A4B"/>
    <w:rsid w:val="00CA7125"/>
    <w:rsid w:val="00CB0EC3"/>
    <w:rsid w:val="00CB107F"/>
    <w:rsid w:val="00CB138E"/>
    <w:rsid w:val="00CB198B"/>
    <w:rsid w:val="00CB1E24"/>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AB0"/>
    <w:rsid w:val="00D03BC9"/>
    <w:rsid w:val="00D045AC"/>
    <w:rsid w:val="00D0502A"/>
    <w:rsid w:val="00D0571D"/>
    <w:rsid w:val="00D05F9B"/>
    <w:rsid w:val="00D06FE1"/>
    <w:rsid w:val="00D0787D"/>
    <w:rsid w:val="00D078F1"/>
    <w:rsid w:val="00D07D87"/>
    <w:rsid w:val="00D10EC7"/>
    <w:rsid w:val="00D12931"/>
    <w:rsid w:val="00D12F01"/>
    <w:rsid w:val="00D134BD"/>
    <w:rsid w:val="00D14354"/>
    <w:rsid w:val="00D145C8"/>
    <w:rsid w:val="00D162F9"/>
    <w:rsid w:val="00D17F95"/>
    <w:rsid w:val="00D2108A"/>
    <w:rsid w:val="00D22EAB"/>
    <w:rsid w:val="00D253CA"/>
    <w:rsid w:val="00D25F77"/>
    <w:rsid w:val="00D25FCF"/>
    <w:rsid w:val="00D274F1"/>
    <w:rsid w:val="00D324F1"/>
    <w:rsid w:val="00D359A8"/>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2E"/>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2E4"/>
    <w:rsid w:val="00DB6C51"/>
    <w:rsid w:val="00DB7F92"/>
    <w:rsid w:val="00DC0493"/>
    <w:rsid w:val="00DC32AA"/>
    <w:rsid w:val="00DC4600"/>
    <w:rsid w:val="00DC632B"/>
    <w:rsid w:val="00DC6D73"/>
    <w:rsid w:val="00DC7526"/>
    <w:rsid w:val="00DD29F7"/>
    <w:rsid w:val="00DD2A95"/>
    <w:rsid w:val="00DD3A5A"/>
    <w:rsid w:val="00DD51B8"/>
    <w:rsid w:val="00DE0A8A"/>
    <w:rsid w:val="00DE1E0E"/>
    <w:rsid w:val="00DE6CDC"/>
    <w:rsid w:val="00DF07E5"/>
    <w:rsid w:val="00DF326D"/>
    <w:rsid w:val="00DF50DF"/>
    <w:rsid w:val="00DF671B"/>
    <w:rsid w:val="00DF7808"/>
    <w:rsid w:val="00E00D9C"/>
    <w:rsid w:val="00E0333D"/>
    <w:rsid w:val="00E0386B"/>
    <w:rsid w:val="00E0693B"/>
    <w:rsid w:val="00E07922"/>
    <w:rsid w:val="00E115C4"/>
    <w:rsid w:val="00E11BE8"/>
    <w:rsid w:val="00E12363"/>
    <w:rsid w:val="00E12786"/>
    <w:rsid w:val="00E16782"/>
    <w:rsid w:val="00E21051"/>
    <w:rsid w:val="00E229A6"/>
    <w:rsid w:val="00E23FA7"/>
    <w:rsid w:val="00E260CB"/>
    <w:rsid w:val="00E26A90"/>
    <w:rsid w:val="00E27238"/>
    <w:rsid w:val="00E27AFC"/>
    <w:rsid w:val="00E344E4"/>
    <w:rsid w:val="00E37099"/>
    <w:rsid w:val="00E370BE"/>
    <w:rsid w:val="00E37FCD"/>
    <w:rsid w:val="00E40717"/>
    <w:rsid w:val="00E44888"/>
    <w:rsid w:val="00E44DA4"/>
    <w:rsid w:val="00E45E30"/>
    <w:rsid w:val="00E46B58"/>
    <w:rsid w:val="00E53170"/>
    <w:rsid w:val="00E54D94"/>
    <w:rsid w:val="00E550F7"/>
    <w:rsid w:val="00E603E1"/>
    <w:rsid w:val="00E61643"/>
    <w:rsid w:val="00E629BA"/>
    <w:rsid w:val="00E62EFA"/>
    <w:rsid w:val="00E653E1"/>
    <w:rsid w:val="00E65957"/>
    <w:rsid w:val="00E65C2A"/>
    <w:rsid w:val="00E668F9"/>
    <w:rsid w:val="00E712CD"/>
    <w:rsid w:val="00E732E1"/>
    <w:rsid w:val="00E74FDE"/>
    <w:rsid w:val="00E7719B"/>
    <w:rsid w:val="00E8154A"/>
    <w:rsid w:val="00E81927"/>
    <w:rsid w:val="00E81E18"/>
    <w:rsid w:val="00E84553"/>
    <w:rsid w:val="00E85575"/>
    <w:rsid w:val="00E85CD2"/>
    <w:rsid w:val="00E92E46"/>
    <w:rsid w:val="00E944CA"/>
    <w:rsid w:val="00E94B37"/>
    <w:rsid w:val="00E954D6"/>
    <w:rsid w:val="00EA1E99"/>
    <w:rsid w:val="00EA30DD"/>
    <w:rsid w:val="00EA327B"/>
    <w:rsid w:val="00EA4F63"/>
    <w:rsid w:val="00EA67E2"/>
    <w:rsid w:val="00EA6CAF"/>
    <w:rsid w:val="00EB2DB2"/>
    <w:rsid w:val="00EB3B58"/>
    <w:rsid w:val="00EB3CBB"/>
    <w:rsid w:val="00EB3EA8"/>
    <w:rsid w:val="00EB419B"/>
    <w:rsid w:val="00EB5263"/>
    <w:rsid w:val="00EB6351"/>
    <w:rsid w:val="00EB6B2B"/>
    <w:rsid w:val="00EB7FD2"/>
    <w:rsid w:val="00EC1ADD"/>
    <w:rsid w:val="00EC1B08"/>
    <w:rsid w:val="00EC2564"/>
    <w:rsid w:val="00EC2F48"/>
    <w:rsid w:val="00EC3E28"/>
    <w:rsid w:val="00EC678B"/>
    <w:rsid w:val="00EC6B60"/>
    <w:rsid w:val="00ED10AD"/>
    <w:rsid w:val="00ED2B33"/>
    <w:rsid w:val="00ED3326"/>
    <w:rsid w:val="00ED39FF"/>
    <w:rsid w:val="00ED680A"/>
    <w:rsid w:val="00EE3959"/>
    <w:rsid w:val="00EE47D6"/>
    <w:rsid w:val="00EE79A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1742B"/>
    <w:rsid w:val="00F214CD"/>
    <w:rsid w:val="00F229E2"/>
    <w:rsid w:val="00F2673A"/>
    <w:rsid w:val="00F2766E"/>
    <w:rsid w:val="00F27BE6"/>
    <w:rsid w:val="00F27D7D"/>
    <w:rsid w:val="00F31154"/>
    <w:rsid w:val="00F3456C"/>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5E9E"/>
    <w:rsid w:val="00FA0B9D"/>
    <w:rsid w:val="00FA4B58"/>
    <w:rsid w:val="00FA6BC7"/>
    <w:rsid w:val="00FB0EE1"/>
    <w:rsid w:val="00FB1136"/>
    <w:rsid w:val="00FB2F7D"/>
    <w:rsid w:val="00FB3469"/>
    <w:rsid w:val="00FB45BC"/>
    <w:rsid w:val="00FC0207"/>
    <w:rsid w:val="00FD0733"/>
    <w:rsid w:val="00FD073F"/>
    <w:rsid w:val="00FD0AFA"/>
    <w:rsid w:val="00FD1BA5"/>
    <w:rsid w:val="00FD430D"/>
    <w:rsid w:val="00FD46EF"/>
    <w:rsid w:val="00FD53F9"/>
    <w:rsid w:val="00FD5FDB"/>
    <w:rsid w:val="00FD63AC"/>
    <w:rsid w:val="00FE107C"/>
    <w:rsid w:val="00FE32BD"/>
    <w:rsid w:val="00FE470C"/>
    <w:rsid w:val="00FE7115"/>
    <w:rsid w:val="00FF03D8"/>
    <w:rsid w:val="00FF168E"/>
    <w:rsid w:val="00FF270D"/>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uiPriority w:val="99"/>
    <w:semiHidden/>
    <w:rsid w:val="00143265"/>
    <w:rPr>
      <w:sz w:val="16"/>
      <w:szCs w:val="16"/>
    </w:rPr>
  </w:style>
  <w:style w:type="paragraph" w:styleId="a7">
    <w:name w:val="annotation text"/>
    <w:basedOn w:val="a"/>
    <w:link w:val="a8"/>
    <w:uiPriority w:val="99"/>
    <w:rsid w:val="00143265"/>
    <w:rPr>
      <w:sz w:val="20"/>
      <w:szCs w:val="20"/>
    </w:rPr>
  </w:style>
  <w:style w:type="paragraph" w:styleId="a9">
    <w:name w:val="annotation subject"/>
    <w:basedOn w:val="a7"/>
    <w:next w:val="a7"/>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f">
    <w:name w:val="Mention"/>
    <w:basedOn w:val="a0"/>
    <w:uiPriority w:val="99"/>
    <w:unhideWhenUsed/>
    <w:rsid w:val="00594518"/>
    <w:rPr>
      <w:color w:val="2B579A"/>
      <w:shd w:val="clear" w:color="auto" w:fill="E1DFDD"/>
    </w:rPr>
  </w:style>
  <w:style w:type="character" w:customStyle="1" w:styleId="a8">
    <w:name w:val="Текст примітки Знак"/>
    <w:basedOn w:val="a0"/>
    <w:link w:val="a7"/>
    <w:uiPriority w:val="99"/>
    <w:rsid w:val="00BB1DA8"/>
    <w:rPr>
      <w:lang w:val="ru-RU" w:eastAsia="ru-RU"/>
    </w:rPr>
  </w:style>
  <w:style w:type="character" w:styleId="aff0">
    <w:name w:val="FollowedHyperlink"/>
    <w:basedOn w:val="a0"/>
    <w:uiPriority w:val="99"/>
    <w:semiHidden/>
    <w:unhideWhenUsed/>
    <w:rsid w:val="00556C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c.org/who-we-are/transnational-auditors-committee-forum-fir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ountancyage.com/rankings/top-25-international-networks-2022/" TargetMode="External"/><Relationship Id="rId17" Type="http://schemas.openxmlformats.org/officeDocument/2006/relationships/hyperlink" Target="https://redcross.org.ua/information/"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apob.org.ua/uk/search"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19318</Words>
  <Characters>11012</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cp:revision>
  <cp:lastPrinted>2023-12-29T08:52:00Z</cp:lastPrinted>
  <dcterms:created xsi:type="dcterms:W3CDTF">2024-12-19T14:00:00Z</dcterms:created>
  <dcterms:modified xsi:type="dcterms:W3CDTF">2024-12-20T09:00:00Z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