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F5D0" w14:textId="6C29BD50" w:rsidR="00935689" w:rsidRPr="00601A7C" w:rsidRDefault="00935689" w:rsidP="008D150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Додаток </w:t>
      </w:r>
      <w:r w:rsidR="006B7053">
        <w:rPr>
          <w:rFonts w:ascii="Times New Roman" w:hAnsi="Times New Roman"/>
          <w:b/>
          <w:lang w:eastAsia="ru-RU"/>
        </w:rPr>
        <w:t>1</w:t>
      </w:r>
    </w:p>
    <w:p w14:paraId="73A30BB8" w14:textId="77777777" w:rsidR="00935689" w:rsidRPr="00601A7C" w:rsidRDefault="00935689" w:rsidP="008D150F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601A7C">
        <w:rPr>
          <w:rFonts w:ascii="Times New Roman" w:hAnsi="Times New Roman"/>
          <w:b/>
          <w:lang w:eastAsia="ru-RU"/>
        </w:rPr>
        <w:t>до тендерної документації</w:t>
      </w:r>
    </w:p>
    <w:p w14:paraId="510585E8" w14:textId="77777777" w:rsidR="00935689" w:rsidRDefault="00935689" w:rsidP="008D1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BEEFD0E" w14:textId="77777777" w:rsidR="00935689" w:rsidRPr="002174CD" w:rsidRDefault="00935689" w:rsidP="008D1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74CD">
        <w:rPr>
          <w:rFonts w:ascii="Times New Roman" w:hAnsi="Times New Roman"/>
          <w:b/>
          <w:color w:val="000000"/>
          <w:sz w:val="24"/>
          <w:szCs w:val="24"/>
        </w:rPr>
        <w:t>ТЕХНІЧНЕ ЗАВДАННЯ</w:t>
      </w:r>
    </w:p>
    <w:p w14:paraId="7A6EF1E0" w14:textId="77777777" w:rsidR="00935689" w:rsidRPr="002174CD" w:rsidRDefault="00935689" w:rsidP="008D15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74CD">
        <w:rPr>
          <w:rFonts w:ascii="Times New Roman" w:hAnsi="Times New Roman"/>
          <w:b/>
          <w:color w:val="000000"/>
          <w:sz w:val="24"/>
          <w:szCs w:val="24"/>
        </w:rPr>
        <w:t>на розробку проектно-кошторисної документації по об’єкту</w:t>
      </w:r>
    </w:p>
    <w:p w14:paraId="0D421EE1" w14:textId="674B94E7" w:rsidR="00935689" w:rsidRPr="002174CD" w:rsidRDefault="00935689" w:rsidP="00935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74C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B7053" w:rsidRPr="002174CD">
        <w:rPr>
          <w:rFonts w:ascii="Times New Roman" w:hAnsi="Times New Roman"/>
          <w:b/>
          <w:color w:val="000000"/>
          <w:sz w:val="24"/>
          <w:szCs w:val="24"/>
        </w:rPr>
        <w:t xml:space="preserve">Капітальний ремонт офісу </w:t>
      </w:r>
      <w:r w:rsidR="00E06606" w:rsidRPr="002174CD">
        <w:rPr>
          <w:rFonts w:ascii="Times New Roman" w:hAnsi="Times New Roman"/>
          <w:b/>
          <w:bCs/>
          <w:color w:val="000000"/>
          <w:sz w:val="24"/>
          <w:szCs w:val="24"/>
        </w:rPr>
        <w:t xml:space="preserve">Львівської обласної організації </w:t>
      </w:r>
      <w:r w:rsidR="00505E94" w:rsidRPr="002174C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E06606" w:rsidRPr="002174C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овариства </w:t>
      </w:r>
      <w:r w:rsidR="00505E94" w:rsidRPr="002174CD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E06606" w:rsidRPr="002174CD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ервоного </w:t>
      </w:r>
      <w:r w:rsidR="00505E94" w:rsidRPr="002174CD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="00E06606" w:rsidRPr="002174CD">
        <w:rPr>
          <w:rFonts w:ascii="Times New Roman" w:hAnsi="Times New Roman"/>
          <w:b/>
          <w:bCs/>
          <w:color w:val="000000"/>
          <w:sz w:val="24"/>
          <w:szCs w:val="24"/>
        </w:rPr>
        <w:t>реста України</w:t>
      </w:r>
      <w:r w:rsidR="002174CD">
        <w:rPr>
          <w:rFonts w:ascii="Times New Roman" w:hAnsi="Times New Roman"/>
          <w:b/>
          <w:bCs/>
          <w:color w:val="000000"/>
          <w:sz w:val="24"/>
          <w:szCs w:val="24"/>
        </w:rPr>
        <w:t>, розташованого</w:t>
      </w:r>
      <w:r w:rsidR="00505E94" w:rsidRPr="002174CD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</w:t>
      </w:r>
      <w:r w:rsidR="00505E94" w:rsidRPr="002174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05E94" w:rsidRPr="002174CD">
        <w:rPr>
          <w:rFonts w:ascii="Times New Roman" w:hAnsi="Times New Roman"/>
          <w:b/>
          <w:color w:val="000000"/>
          <w:sz w:val="24"/>
          <w:szCs w:val="24"/>
        </w:rPr>
        <w:t>адресою</w:t>
      </w:r>
      <w:proofErr w:type="spellEnd"/>
      <w:r w:rsidR="00505E94" w:rsidRPr="002174C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B7053" w:rsidRPr="002174CD">
        <w:rPr>
          <w:rFonts w:ascii="Times New Roman" w:hAnsi="Times New Roman"/>
          <w:b/>
          <w:color w:val="000000"/>
          <w:sz w:val="24"/>
          <w:szCs w:val="24"/>
        </w:rPr>
        <w:t>м. Львів, вул. Сахаров</w:t>
      </w:r>
      <w:r w:rsidR="00505E94" w:rsidRPr="002174CD">
        <w:rPr>
          <w:rFonts w:ascii="Times New Roman" w:hAnsi="Times New Roman"/>
          <w:b/>
          <w:color w:val="000000"/>
          <w:sz w:val="24"/>
          <w:szCs w:val="24"/>
        </w:rPr>
        <w:t>а, буд. 52</w:t>
      </w:r>
      <w:r w:rsidRPr="002174C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27EC7F48" w14:textId="77777777" w:rsidR="00935689" w:rsidRPr="004F6DA3" w:rsidRDefault="00935689" w:rsidP="009356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8"/>
        <w:gridCol w:w="4058"/>
        <w:gridCol w:w="5689"/>
      </w:tblGrid>
      <w:tr w:rsidR="00BC5BCC" w:rsidRPr="00935689" w14:paraId="6A2B45C2" w14:textId="77777777" w:rsidTr="009779B2">
        <w:tc>
          <w:tcPr>
            <w:tcW w:w="243" w:type="pct"/>
          </w:tcPr>
          <w:p w14:paraId="34750EA3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0" w:type="pct"/>
          </w:tcPr>
          <w:p w14:paraId="09BF5484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 та місцезнаходження</w:t>
            </w:r>
          </w:p>
          <w:p w14:paraId="0C1A0281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об'єкта</w:t>
            </w:r>
          </w:p>
        </w:tc>
        <w:tc>
          <w:tcPr>
            <w:tcW w:w="2776" w:type="pct"/>
          </w:tcPr>
          <w:p w14:paraId="5CDECB54" w14:textId="71E1C6AF" w:rsidR="00BC5BCC" w:rsidRPr="00935689" w:rsidRDefault="002174CD" w:rsidP="0093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Офіс Львівської обласної організації Товариства Червоного Хреста України, розташованого за </w:t>
            </w:r>
            <w:proofErr w:type="spellStart"/>
            <w:r w:rsidRP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м. Львів, вул. Сахарова, буд. 52</w:t>
            </w:r>
          </w:p>
        </w:tc>
      </w:tr>
      <w:tr w:rsidR="00BC5BCC" w:rsidRPr="00935689" w14:paraId="0C5F2066" w14:textId="77777777" w:rsidTr="009779B2">
        <w:tc>
          <w:tcPr>
            <w:tcW w:w="243" w:type="pct"/>
          </w:tcPr>
          <w:p w14:paraId="19200111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0" w:type="pct"/>
          </w:tcPr>
          <w:p w14:paraId="7BD597A1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Підстава для проектування</w:t>
            </w:r>
          </w:p>
        </w:tc>
        <w:tc>
          <w:tcPr>
            <w:tcW w:w="2776" w:type="pct"/>
          </w:tcPr>
          <w:p w14:paraId="4C26ED01" w14:textId="69EBFA31" w:rsidR="00BC5BCC" w:rsidRPr="002010C1" w:rsidRDefault="002010C1" w:rsidP="00935689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вимагається</w:t>
            </w:r>
          </w:p>
        </w:tc>
      </w:tr>
      <w:tr w:rsidR="00BC5BCC" w:rsidRPr="00935689" w14:paraId="19EC9194" w14:textId="77777777" w:rsidTr="009779B2">
        <w:tc>
          <w:tcPr>
            <w:tcW w:w="243" w:type="pct"/>
          </w:tcPr>
          <w:p w14:paraId="386AA526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0" w:type="pct"/>
          </w:tcPr>
          <w:p w14:paraId="6E4E7034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будівництва</w:t>
            </w:r>
          </w:p>
        </w:tc>
        <w:tc>
          <w:tcPr>
            <w:tcW w:w="2776" w:type="pct"/>
          </w:tcPr>
          <w:p w14:paraId="52336D15" w14:textId="23C4E645" w:rsidR="00BC5BCC" w:rsidRPr="00935689" w:rsidRDefault="002010C1" w:rsidP="00935689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Капітальний ремонт</w:t>
            </w:r>
          </w:p>
        </w:tc>
      </w:tr>
      <w:tr w:rsidR="00BC5BCC" w:rsidRPr="00935689" w14:paraId="2507AAB9" w14:textId="77777777" w:rsidTr="009779B2">
        <w:tc>
          <w:tcPr>
            <w:tcW w:w="243" w:type="pct"/>
          </w:tcPr>
          <w:p w14:paraId="2399912A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0" w:type="pct"/>
          </w:tcPr>
          <w:p w14:paraId="5562CD27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 про замовника проектування</w:t>
            </w:r>
          </w:p>
        </w:tc>
        <w:tc>
          <w:tcPr>
            <w:tcW w:w="2776" w:type="pct"/>
          </w:tcPr>
          <w:p w14:paraId="4A65234A" w14:textId="34C82CE0" w:rsidR="00BC5BCC" w:rsidRPr="00935689" w:rsidRDefault="002010C1" w:rsidP="00935689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Львівська обласна організація Товариства Червоного Хреста України</w:t>
            </w:r>
          </w:p>
        </w:tc>
      </w:tr>
      <w:tr w:rsidR="00BC5BCC" w:rsidRPr="00935689" w14:paraId="24D1527F" w14:textId="77777777" w:rsidTr="009779B2">
        <w:tc>
          <w:tcPr>
            <w:tcW w:w="243" w:type="pct"/>
          </w:tcPr>
          <w:p w14:paraId="322D30B5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0" w:type="pct"/>
          </w:tcPr>
          <w:p w14:paraId="0AB25DC2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Джерело фінансування</w:t>
            </w:r>
          </w:p>
        </w:tc>
        <w:tc>
          <w:tcPr>
            <w:tcW w:w="2776" w:type="pct"/>
          </w:tcPr>
          <w:p w14:paraId="77C39252" w14:textId="77777777" w:rsidR="00BC5BCC" w:rsidRPr="00935689" w:rsidRDefault="00BC5BCC" w:rsidP="00935689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Власні кошти підприємства</w:t>
            </w:r>
          </w:p>
        </w:tc>
      </w:tr>
      <w:tr w:rsidR="00BC5BCC" w:rsidRPr="00935689" w14:paraId="35808FE4" w14:textId="77777777" w:rsidTr="009779B2">
        <w:tc>
          <w:tcPr>
            <w:tcW w:w="243" w:type="pct"/>
          </w:tcPr>
          <w:p w14:paraId="0D568B9C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80" w:type="pct"/>
          </w:tcPr>
          <w:p w14:paraId="4C369F5C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Необхідність розрахунків ефективності інвестицій</w:t>
            </w:r>
          </w:p>
        </w:tc>
        <w:tc>
          <w:tcPr>
            <w:tcW w:w="2776" w:type="pct"/>
          </w:tcPr>
          <w:p w14:paraId="668C7565" w14:textId="77777777" w:rsidR="00BC5BCC" w:rsidRPr="00935689" w:rsidRDefault="00BC5BCC" w:rsidP="00935689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вимагається</w:t>
            </w:r>
          </w:p>
        </w:tc>
      </w:tr>
      <w:tr w:rsidR="00BC5BCC" w:rsidRPr="00935689" w14:paraId="0DAAA023" w14:textId="77777777" w:rsidTr="009779B2">
        <w:tc>
          <w:tcPr>
            <w:tcW w:w="243" w:type="pct"/>
          </w:tcPr>
          <w:p w14:paraId="201CDC65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0" w:type="pct"/>
          </w:tcPr>
          <w:p w14:paraId="0E3FDBDF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 про генерального проектувальника</w:t>
            </w:r>
          </w:p>
        </w:tc>
        <w:tc>
          <w:tcPr>
            <w:tcW w:w="2776" w:type="pct"/>
          </w:tcPr>
          <w:p w14:paraId="42E2B0EF" w14:textId="77777777" w:rsidR="00BC5BCC" w:rsidRPr="00935689" w:rsidRDefault="00BC5BCC" w:rsidP="00935689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результатами проведення тендеру</w:t>
            </w:r>
          </w:p>
        </w:tc>
      </w:tr>
      <w:tr w:rsidR="00BC5BCC" w:rsidRPr="00935689" w14:paraId="6AF4636C" w14:textId="77777777" w:rsidTr="009779B2">
        <w:tc>
          <w:tcPr>
            <w:tcW w:w="243" w:type="pct"/>
          </w:tcPr>
          <w:p w14:paraId="65CE13FD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0" w:type="pct"/>
          </w:tcPr>
          <w:p w14:paraId="2DE1B05F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Стадійність проектування</w:t>
            </w:r>
          </w:p>
        </w:tc>
        <w:tc>
          <w:tcPr>
            <w:tcW w:w="2776" w:type="pct"/>
          </w:tcPr>
          <w:p w14:paraId="4637EFB9" w14:textId="690AE239" w:rsidR="00BC5BCC" w:rsidRPr="00935689" w:rsidRDefault="00BC5BCC" w:rsidP="00935689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Стадія «</w:t>
            </w:r>
            <w:r w:rsid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C5BCC" w:rsidRPr="00935689" w14:paraId="34B36A79" w14:textId="77777777" w:rsidTr="009779B2">
        <w:tc>
          <w:tcPr>
            <w:tcW w:w="243" w:type="pct"/>
          </w:tcPr>
          <w:p w14:paraId="3C97108F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0" w:type="pct"/>
          </w:tcPr>
          <w:p w14:paraId="0A630E33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Інженерні вишукування</w:t>
            </w:r>
          </w:p>
        </w:tc>
        <w:tc>
          <w:tcPr>
            <w:tcW w:w="2776" w:type="pct"/>
          </w:tcPr>
          <w:p w14:paraId="1524829C" w14:textId="6D2E8CCF" w:rsidR="00935689" w:rsidRPr="00935689" w:rsidRDefault="002E0991" w:rsidP="00935689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Підрядник зобов’язується </w:t>
            </w:r>
            <w:r w:rsidR="00292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здійснити візуальне та інструментальне обстеження </w:t>
            </w:r>
            <w:r w:rsidR="008D2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стану будівлі та надати пропозиції щодо виду та обсягу робіт</w:t>
            </w:r>
            <w:r w:rsidR="004A7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необхідності заміни існуючих інженерних мереж.</w:t>
            </w:r>
            <w:r w:rsidR="00D56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Вартість обстеження входить до вартості комерційної пропозиції.</w:t>
            </w:r>
          </w:p>
        </w:tc>
      </w:tr>
      <w:tr w:rsidR="00BC5BCC" w:rsidRPr="00935689" w14:paraId="7F97C08F" w14:textId="77777777" w:rsidTr="009779B2">
        <w:tc>
          <w:tcPr>
            <w:tcW w:w="243" w:type="pct"/>
          </w:tcPr>
          <w:p w14:paraId="62086897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80" w:type="pct"/>
          </w:tcPr>
          <w:p w14:paraId="77A15161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Дані про особливі умови будівництва</w:t>
            </w:r>
          </w:p>
        </w:tc>
        <w:tc>
          <w:tcPr>
            <w:tcW w:w="2776" w:type="pct"/>
          </w:tcPr>
          <w:p w14:paraId="7C666759" w14:textId="0F910E96" w:rsidR="00BC5BCC" w:rsidRPr="00935689" w:rsidRDefault="002010C1" w:rsidP="002010C1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вимагається</w:t>
            </w:r>
          </w:p>
        </w:tc>
      </w:tr>
      <w:tr w:rsidR="00BC5BCC" w:rsidRPr="00935689" w14:paraId="37A646F6" w14:textId="77777777" w:rsidTr="009779B2">
        <w:tc>
          <w:tcPr>
            <w:tcW w:w="243" w:type="pct"/>
          </w:tcPr>
          <w:p w14:paraId="7BC32F32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0" w:type="pct"/>
          </w:tcPr>
          <w:p w14:paraId="09F69E1C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Основні архітектурно-планувальні вимоги і характеристики (</w:t>
            </w:r>
            <w:proofErr w:type="spellStart"/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проектуємого</w:t>
            </w:r>
            <w:proofErr w:type="spellEnd"/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запроектованого об’єкту</w:t>
            </w:r>
          </w:p>
        </w:tc>
        <w:tc>
          <w:tcPr>
            <w:tcW w:w="2776" w:type="pct"/>
          </w:tcPr>
          <w:p w14:paraId="5DD8BE00" w14:textId="296B6F49" w:rsidR="00BC5BCC" w:rsidRDefault="002010C1" w:rsidP="002010C1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Капітальний ремонт </w:t>
            </w:r>
            <w:r w:rsidR="007B2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існуючої будівлі із </w:t>
            </w:r>
            <w:r w:rsidR="00F5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частковим переплануванням для </w:t>
            </w:r>
            <w:r w:rsidR="0087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розміщення </w:t>
            </w:r>
            <w:r w:rsidR="00E21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персоналу </w:t>
            </w:r>
            <w:r w:rsidR="00E2123B" w:rsidRP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Львівськ</w:t>
            </w:r>
            <w:r w:rsidR="00E21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ої</w:t>
            </w:r>
            <w:r w:rsidR="00E2123B" w:rsidRP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обласн</w:t>
            </w:r>
            <w:r w:rsidR="00E21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ої</w:t>
            </w:r>
            <w:r w:rsidR="00E2123B" w:rsidRP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організаці</w:t>
            </w:r>
            <w:r w:rsidR="00E21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ї</w:t>
            </w:r>
            <w:r w:rsidR="00E2123B" w:rsidRPr="002010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Товариства Червоного Хреста України</w:t>
            </w:r>
            <w:r w:rsidR="000A3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загальною площею </w:t>
            </w:r>
            <w:r w:rsidR="00F0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орієнтовно 650 </w:t>
            </w:r>
            <w:proofErr w:type="spellStart"/>
            <w:r w:rsidR="002E0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2E0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з заміною існуюч</w:t>
            </w:r>
            <w:r w:rsidR="008D2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 інженерних мереж</w:t>
            </w:r>
            <w:r w:rsidR="006B0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C5BCC"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FDE7B4" w14:textId="77777777" w:rsidR="00E616C1" w:rsidRPr="00EC7291" w:rsidRDefault="00E616C1" w:rsidP="00E616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Проектом передбачити:</w:t>
            </w:r>
          </w:p>
          <w:p w14:paraId="4DAEDF33" w14:textId="5F05D553" w:rsidR="00E616C1" w:rsidRPr="00EC7291" w:rsidRDefault="00E616C1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рішення з перепланування; </w:t>
            </w:r>
          </w:p>
          <w:p w14:paraId="7DD5C789" w14:textId="4094BE2C" w:rsidR="000808A5" w:rsidRPr="00EC7291" w:rsidRDefault="000808A5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оздоблювальні роботи;</w:t>
            </w:r>
          </w:p>
          <w:p w14:paraId="25507FC5" w14:textId="0E963753" w:rsidR="000808A5" w:rsidRPr="00EC7291" w:rsidRDefault="00DA7C1B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заміна вікон, дверей;</w:t>
            </w:r>
          </w:p>
          <w:p w14:paraId="283AA4F4" w14:textId="024D0112" w:rsidR="00B20614" w:rsidRPr="00EC7291" w:rsidRDefault="00B20614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встановлення газової котельні</w:t>
            </w:r>
            <w:r w:rsidR="00233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За необхідністю, Підрядник зобов’язується погодити проект з </w:t>
            </w:r>
            <w:proofErr w:type="spellStart"/>
            <w:r w:rsidR="00233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газопостачаючою</w:t>
            </w:r>
            <w:proofErr w:type="spellEnd"/>
            <w:r w:rsidR="00233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організацією</w:t>
            </w: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3D65B61" w14:textId="01F9AA08" w:rsidR="00B20614" w:rsidRPr="00EC7291" w:rsidRDefault="00B20614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встановлення теплої підлоги на цокольному поверсі;</w:t>
            </w:r>
          </w:p>
          <w:p w14:paraId="61FC95A6" w14:textId="55EA9584" w:rsidR="00B20614" w:rsidRPr="00EC7291" w:rsidRDefault="005F2114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встановлення санвузлів;</w:t>
            </w:r>
          </w:p>
          <w:p w14:paraId="2376CEB5" w14:textId="35F7B15B" w:rsidR="005F2114" w:rsidRPr="00EC7291" w:rsidRDefault="005F2114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заміна існуючої системи електропостачання. Доцільність реконструкції щитової – визначити за результатами обстеження. Роботи мають бути включені до комерційної пропозиції;</w:t>
            </w:r>
          </w:p>
          <w:p w14:paraId="7A5BC7CC" w14:textId="4B96AF4F" w:rsidR="005F2114" w:rsidRPr="00EC7291" w:rsidRDefault="006D62C0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влаштування централізованої системи кондиціонування </w:t>
            </w:r>
            <w:r w:rsidR="00BE523F"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(26 приміщень);</w:t>
            </w:r>
          </w:p>
          <w:p w14:paraId="6ED056DE" w14:textId="449C6AFC" w:rsidR="00BE523F" w:rsidRPr="00EC7291" w:rsidRDefault="00BE523F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E5E6E"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влаштування припливно-витяжної системи на цокольному поверсі та в приміщеннях санвузлів;</w:t>
            </w:r>
          </w:p>
          <w:p w14:paraId="3FC117AB" w14:textId="0D665FAF" w:rsidR="009E5E6E" w:rsidRPr="00EC7291" w:rsidRDefault="00B7102D" w:rsidP="00E616C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влаштування структурованої кабельної мережі (</w:t>
            </w:r>
            <w:r w:rsidR="00AF7877"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асивна частина</w:t>
            </w:r>
            <w:r w:rsidR="00AF7877"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Специфікацію активного обладнання буде надано Замовником.</w:t>
            </w: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4CD18B9" w14:textId="77777777" w:rsidR="00AF7877" w:rsidRPr="00EC7291" w:rsidRDefault="00B7102D" w:rsidP="00AF787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04C3F"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влаштування  системи контролю управління доступом</w:t>
            </w:r>
            <w:r w:rsidR="00AF7877"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(Пасивна частина. Специфікацію активного обладнання буде надано Замовником.);</w:t>
            </w:r>
          </w:p>
          <w:p w14:paraId="4727BFBF" w14:textId="77777777" w:rsidR="00AF7877" w:rsidRPr="00EC7291" w:rsidRDefault="00AF7877" w:rsidP="00AF7877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влаштування системи </w:t>
            </w:r>
            <w:proofErr w:type="spellStart"/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відеонагляду</w:t>
            </w:r>
            <w:proofErr w:type="spellEnd"/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(Пасивна частина. Специфікацію активного обладнання буде надано Замовником.);</w:t>
            </w:r>
          </w:p>
          <w:p w14:paraId="6B378EE4" w14:textId="61B60873" w:rsidR="00E04C3F" w:rsidRPr="00EC7291" w:rsidRDefault="00E04C3F" w:rsidP="00E04C3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2653F"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влаштування серверної (комутаційної) кімнати. Специфікацію активного обладнання буде надано Замовником</w:t>
            </w:r>
            <w:r w:rsidR="00EC7291"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F590092" w14:textId="17999B2F" w:rsidR="00D2653F" w:rsidRPr="00EC7291" w:rsidRDefault="0030654E" w:rsidP="00E04C3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влаштування системи пожежної сигналізації з реєстрацією проекту в ДСНС та можливістю виведення на пульт;</w:t>
            </w:r>
          </w:p>
          <w:p w14:paraId="551C3EE9" w14:textId="65E1F385" w:rsidR="00E616C1" w:rsidRPr="00EC7291" w:rsidRDefault="00EC7291" w:rsidP="00EC729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підбір та розташування на плані меблів.</w:t>
            </w:r>
          </w:p>
        </w:tc>
      </w:tr>
      <w:tr w:rsidR="00BC5BCC" w:rsidRPr="00935689" w14:paraId="6D078317" w14:textId="77777777" w:rsidTr="009779B2">
        <w:tc>
          <w:tcPr>
            <w:tcW w:w="243" w:type="pct"/>
          </w:tcPr>
          <w:p w14:paraId="00FD2ECD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0" w:type="pct"/>
          </w:tcPr>
          <w:p w14:paraId="0BF92360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2776" w:type="pct"/>
          </w:tcPr>
          <w:p w14:paraId="6FCED67E" w14:textId="464D459B" w:rsidR="00BC5BCC" w:rsidRPr="00935689" w:rsidRDefault="006B0B46" w:rsidP="006B0B46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одну </w:t>
            </w:r>
            <w:r w:rsidR="00E43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чергу</w:t>
            </w:r>
          </w:p>
        </w:tc>
      </w:tr>
      <w:tr w:rsidR="00BC5BCC" w:rsidRPr="00935689" w14:paraId="55E3C10B" w14:textId="77777777" w:rsidTr="009779B2">
        <w:tc>
          <w:tcPr>
            <w:tcW w:w="243" w:type="pct"/>
          </w:tcPr>
          <w:p w14:paraId="543CED62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980" w:type="pct"/>
          </w:tcPr>
          <w:p w14:paraId="406BB553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Визначення класу наслідків (відповідальності)</w:t>
            </w:r>
          </w:p>
        </w:tc>
        <w:tc>
          <w:tcPr>
            <w:tcW w:w="2776" w:type="pct"/>
          </w:tcPr>
          <w:p w14:paraId="7F17FA21" w14:textId="77777777" w:rsidR="00BC5BCC" w:rsidRPr="00935689" w:rsidRDefault="00BC5BCC" w:rsidP="00E43307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Виконати розрахунок класу наслідків (відповідальності) у відповідності до вимог ДСТУ 8855:2019 «Визначення класу наслідків (відповідальності)»</w:t>
            </w:r>
          </w:p>
        </w:tc>
      </w:tr>
      <w:tr w:rsidR="00BC5BCC" w:rsidRPr="00935689" w14:paraId="0CFA9270" w14:textId="77777777" w:rsidTr="009779B2">
        <w:trPr>
          <w:trHeight w:val="1236"/>
        </w:trPr>
        <w:tc>
          <w:tcPr>
            <w:tcW w:w="243" w:type="pct"/>
          </w:tcPr>
          <w:p w14:paraId="1D71A2FB" w14:textId="77777777" w:rsidR="00BC5BCC" w:rsidRPr="00935689" w:rsidRDefault="00BC5BCC" w:rsidP="00096B39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980" w:type="pct"/>
          </w:tcPr>
          <w:p w14:paraId="2B8644D0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Вказівки про необхідність розроблення </w:t>
            </w:r>
          </w:p>
          <w:p w14:paraId="590A99EE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(проведення)</w:t>
            </w:r>
          </w:p>
          <w:p w14:paraId="06C02C69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попередніх погоджень проектних рішень в декількох варіантах і на конкурсних засадах</w:t>
            </w:r>
          </w:p>
        </w:tc>
        <w:tc>
          <w:tcPr>
            <w:tcW w:w="2776" w:type="pct"/>
          </w:tcPr>
          <w:p w14:paraId="0FAD78A9" w14:textId="32ACD2B0" w:rsidR="00BC5BCC" w:rsidRPr="00935689" w:rsidRDefault="00BC5BCC" w:rsidP="00EC7291">
            <w:pPr>
              <w:tabs>
                <w:tab w:val="left" w:pos="49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Здійснити попереднє погодження проектних рішень із Замовником</w:t>
            </w:r>
            <w:r w:rsidR="00E433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5BCC" w:rsidRPr="00935689" w14:paraId="154F0586" w14:textId="77777777" w:rsidTr="009779B2">
        <w:tc>
          <w:tcPr>
            <w:tcW w:w="243" w:type="pct"/>
          </w:tcPr>
          <w:p w14:paraId="0A54B1AC" w14:textId="7301AB35" w:rsidR="00BC5BCC" w:rsidRPr="00935689" w:rsidRDefault="009779B2" w:rsidP="009779B2">
            <w:pPr>
              <w:spacing w:after="0"/>
              <w:ind w:lef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80" w:type="pct"/>
          </w:tcPr>
          <w:p w14:paraId="6E30CF80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благоустрою</w:t>
            </w:r>
          </w:p>
          <w:p w14:paraId="61954E4B" w14:textId="77777777" w:rsidR="00BC5BCC" w:rsidRPr="00935689" w:rsidRDefault="00BC5BCC" w:rsidP="00A239B3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майданчика</w:t>
            </w:r>
          </w:p>
        </w:tc>
        <w:tc>
          <w:tcPr>
            <w:tcW w:w="2776" w:type="pct"/>
          </w:tcPr>
          <w:p w14:paraId="37E9898F" w14:textId="5D53A97A" w:rsidR="00BC5BCC" w:rsidRPr="00935689" w:rsidRDefault="00BC5BCC" w:rsidP="00EC7291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відповідності до чинних нормативно-правових актів, з дотриманням Правил благоустрою міста </w:t>
            </w:r>
            <w:r w:rsidR="00EC7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Львова.</w:t>
            </w:r>
          </w:p>
        </w:tc>
      </w:tr>
      <w:tr w:rsidR="009779B2" w:rsidRPr="00935689" w14:paraId="3F516AD2" w14:textId="77777777" w:rsidTr="009779B2">
        <w:tc>
          <w:tcPr>
            <w:tcW w:w="243" w:type="pct"/>
          </w:tcPr>
          <w:p w14:paraId="13939F9A" w14:textId="370B36FE" w:rsidR="009779B2" w:rsidRPr="00935689" w:rsidRDefault="009779B2" w:rsidP="009779B2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980" w:type="pct"/>
          </w:tcPr>
          <w:p w14:paraId="215E9A15" w14:textId="77777777" w:rsidR="009779B2" w:rsidRPr="00935689" w:rsidRDefault="009779B2" w:rsidP="009779B2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інженерного захисту територій і об'єктів</w:t>
            </w:r>
          </w:p>
        </w:tc>
        <w:tc>
          <w:tcPr>
            <w:tcW w:w="2776" w:type="pct"/>
          </w:tcPr>
          <w:p w14:paraId="4549E7E1" w14:textId="77777777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з вимогами нормативних документів</w:t>
            </w:r>
          </w:p>
        </w:tc>
      </w:tr>
      <w:tr w:rsidR="009779B2" w:rsidRPr="00935689" w14:paraId="34932D26" w14:textId="77777777" w:rsidTr="009779B2">
        <w:tc>
          <w:tcPr>
            <w:tcW w:w="243" w:type="pct"/>
          </w:tcPr>
          <w:p w14:paraId="317BCA17" w14:textId="4449917B" w:rsidR="009779B2" w:rsidRPr="00935689" w:rsidRDefault="009779B2" w:rsidP="009779B2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80" w:type="pct"/>
          </w:tcPr>
          <w:p w14:paraId="750498FD" w14:textId="77777777" w:rsidR="009779B2" w:rsidRPr="00935689" w:rsidRDefault="009779B2" w:rsidP="009779B2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щодо розроблення розділу «Оцінка впливу на довкілля»</w:t>
            </w:r>
          </w:p>
        </w:tc>
        <w:tc>
          <w:tcPr>
            <w:tcW w:w="2776" w:type="pct"/>
          </w:tcPr>
          <w:p w14:paraId="4C6E0A6F" w14:textId="6B4F058E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з вимогами нормативних документів</w:t>
            </w:r>
          </w:p>
        </w:tc>
      </w:tr>
      <w:tr w:rsidR="009779B2" w:rsidRPr="00935689" w14:paraId="22BB393E" w14:textId="77777777" w:rsidTr="009779B2">
        <w:trPr>
          <w:trHeight w:val="1716"/>
        </w:trPr>
        <w:tc>
          <w:tcPr>
            <w:tcW w:w="243" w:type="pct"/>
          </w:tcPr>
          <w:p w14:paraId="0D37E911" w14:textId="555EE20A" w:rsidR="009779B2" w:rsidRPr="00935689" w:rsidRDefault="009779B2" w:rsidP="009779B2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80" w:type="pct"/>
          </w:tcPr>
          <w:p w14:paraId="34F4F7FC" w14:textId="77777777" w:rsidR="009779B2" w:rsidRPr="00935689" w:rsidRDefault="009779B2" w:rsidP="009779B2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2776" w:type="pct"/>
          </w:tcPr>
          <w:p w14:paraId="34DA4AFA" w14:textId="77777777" w:rsidR="009779B2" w:rsidRPr="00285435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Передбачити заходи з енергоефективності, враховуючи вимоги енергетичної стратегії України на період до 2035 року «Безпека, енергоефективність, конкурентоспроможність</w:t>
            </w:r>
            <w:r w:rsidRPr="0028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357B16C9" w14:textId="77777777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затвердженої Розпорядженням Кабінету міністрів України від 18.08.2017 № 605-р.</w:t>
            </w:r>
          </w:p>
          <w:p w14:paraId="4E25FF2D" w14:textId="35D8C847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Передбачити сучасні енергозберігаючі прилади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79B2" w:rsidRPr="00935689" w14:paraId="21AA114B" w14:textId="77777777" w:rsidTr="009779B2">
        <w:tc>
          <w:tcPr>
            <w:tcW w:w="243" w:type="pct"/>
          </w:tcPr>
          <w:p w14:paraId="038FB57A" w14:textId="341288FA" w:rsidR="009779B2" w:rsidRPr="00935689" w:rsidRDefault="009779B2" w:rsidP="009779B2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80" w:type="pct"/>
          </w:tcPr>
          <w:p w14:paraId="3B31B468" w14:textId="40AB282F" w:rsidR="009779B2" w:rsidRPr="00935689" w:rsidRDefault="009779B2" w:rsidP="009779B2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проектної документації</w:t>
            </w:r>
          </w:p>
        </w:tc>
        <w:tc>
          <w:tcPr>
            <w:tcW w:w="2776" w:type="pct"/>
            <w:shd w:val="clear" w:color="auto" w:fill="auto"/>
            <w:vAlign w:val="center"/>
          </w:tcPr>
          <w:p w14:paraId="318189C7" w14:textId="77777777" w:rsidR="009779B2" w:rsidRPr="00285435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Виконується згідно до Постанови КМУ від </w:t>
            </w:r>
          </w:p>
          <w:p w14:paraId="7CE2BE43" w14:textId="784983EF" w:rsidR="009779B2" w:rsidRPr="00242717" w:rsidRDefault="009779B2" w:rsidP="002E699A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11.05.2011 № 560 ( зі змінами) та ДБН А.2.2-3:2014 «Склад та зміст проектної документації на будівництво».</w:t>
            </w:r>
          </w:p>
        </w:tc>
      </w:tr>
      <w:tr w:rsidR="009779B2" w:rsidRPr="00935689" w14:paraId="2D487713" w14:textId="77777777" w:rsidTr="009779B2">
        <w:tc>
          <w:tcPr>
            <w:tcW w:w="243" w:type="pct"/>
          </w:tcPr>
          <w:p w14:paraId="146634F4" w14:textId="7CC9427F" w:rsidR="009779B2" w:rsidRPr="00935689" w:rsidRDefault="009779B2" w:rsidP="009779B2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0" w:type="pct"/>
          </w:tcPr>
          <w:p w14:paraId="300A2BCA" w14:textId="77777777" w:rsidR="009779B2" w:rsidRPr="00935689" w:rsidRDefault="009779B2" w:rsidP="009779B2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щодо режиму безпеки та охорони праці</w:t>
            </w:r>
          </w:p>
        </w:tc>
        <w:tc>
          <w:tcPr>
            <w:tcW w:w="2776" w:type="pct"/>
          </w:tcPr>
          <w:p w14:paraId="113EB23D" w14:textId="77777777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з вимогами нормативних документів</w:t>
            </w:r>
          </w:p>
        </w:tc>
      </w:tr>
      <w:tr w:rsidR="009779B2" w:rsidRPr="00935689" w14:paraId="6BF81ABE" w14:textId="77777777" w:rsidTr="009779B2">
        <w:tc>
          <w:tcPr>
            <w:tcW w:w="243" w:type="pct"/>
          </w:tcPr>
          <w:p w14:paraId="500CCE1F" w14:textId="69B8A18D" w:rsidR="009779B2" w:rsidRPr="00935689" w:rsidRDefault="009779B2" w:rsidP="009779B2">
            <w:pPr>
              <w:spacing w:after="0"/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0" w:type="pct"/>
          </w:tcPr>
          <w:p w14:paraId="164C5A46" w14:textId="77777777" w:rsidR="009779B2" w:rsidRPr="00935689" w:rsidRDefault="009779B2" w:rsidP="009779B2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2776" w:type="pct"/>
          </w:tcPr>
          <w:p w14:paraId="0A2FEF33" w14:textId="77777777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 з вимогами нормативних документів</w:t>
            </w:r>
          </w:p>
        </w:tc>
      </w:tr>
      <w:tr w:rsidR="009779B2" w:rsidRPr="00935689" w14:paraId="7F9AE518" w14:textId="77777777" w:rsidTr="009779B2">
        <w:tc>
          <w:tcPr>
            <w:tcW w:w="243" w:type="pct"/>
          </w:tcPr>
          <w:p w14:paraId="57C869FE" w14:textId="63CC31D7" w:rsidR="009779B2" w:rsidRPr="00935689" w:rsidRDefault="009779B2" w:rsidP="009779B2">
            <w:pPr>
              <w:spacing w:after="0"/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80" w:type="pct"/>
          </w:tcPr>
          <w:p w14:paraId="27D7D7B5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 щодо створення доступності </w:t>
            </w:r>
          </w:p>
          <w:p w14:paraId="1E7B0D67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 осіб з інвалідністю та інших </w:t>
            </w:r>
          </w:p>
          <w:p w14:paraId="71BDE94E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маломобільних груп населення </w:t>
            </w:r>
          </w:p>
          <w:p w14:paraId="3E970F7D" w14:textId="77777777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pct"/>
            <w:vAlign w:val="center"/>
          </w:tcPr>
          <w:p w14:paraId="1DAC3AB7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Відсутні.  Згідно з чинним законодавством, </w:t>
            </w:r>
          </w:p>
          <w:p w14:paraId="73554F2D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враховуючи ДБН В.2.2-40:2018 </w:t>
            </w:r>
          </w:p>
          <w:p w14:paraId="2ACB633E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Інклюзивність</w:t>
            </w:r>
            <w:proofErr w:type="spellEnd"/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будівель і споруд». При не </w:t>
            </w:r>
          </w:p>
          <w:p w14:paraId="57AAF898" w14:textId="29599CDD" w:rsidR="009779B2" w:rsidRPr="009779B2" w:rsidRDefault="001531B6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можливості</w:t>
            </w:r>
            <w:r w:rsidR="009779B2"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9779B2"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повному обсязі </w:t>
            </w: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забезпечити</w:t>
            </w:r>
            <w:r w:rsidR="009779B2"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550FCC77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 доступності, зручності, </w:t>
            </w:r>
          </w:p>
          <w:p w14:paraId="5A23C4A0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інформативності і безпеки для потреб осіб з </w:t>
            </w:r>
          </w:p>
          <w:p w14:paraId="293B0E56" w14:textId="77777777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інвалідністю, здійснюється їх розумне </w:t>
            </w:r>
          </w:p>
          <w:p w14:paraId="4439FC8F" w14:textId="0EB0E968" w:rsidR="009779B2" w:rsidRPr="00935689" w:rsidRDefault="009779B2" w:rsidP="008178C1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пристосування. </w:t>
            </w:r>
          </w:p>
        </w:tc>
      </w:tr>
      <w:tr w:rsidR="009779B2" w:rsidRPr="00935689" w14:paraId="6001B24D" w14:textId="77777777" w:rsidTr="009779B2">
        <w:tc>
          <w:tcPr>
            <w:tcW w:w="243" w:type="pct"/>
          </w:tcPr>
          <w:p w14:paraId="79F73759" w14:textId="4E4D88A4" w:rsidR="009779B2" w:rsidRPr="00935689" w:rsidRDefault="009779B2" w:rsidP="009779B2">
            <w:pPr>
              <w:spacing w:after="0"/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980" w:type="pct"/>
          </w:tcPr>
          <w:p w14:paraId="1C133E5B" w14:textId="76B9EAD5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 примірників проектно-кошторисної документації</w:t>
            </w:r>
          </w:p>
        </w:tc>
        <w:tc>
          <w:tcPr>
            <w:tcW w:w="2776" w:type="pct"/>
            <w:vAlign w:val="center"/>
          </w:tcPr>
          <w:p w14:paraId="294BE7A0" w14:textId="5572DB4C" w:rsidR="009779B2" w:rsidRPr="00935689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Проектну документацію з позитивним висновком експертизи розробити та передати Замовнику у 4-ох примірниках на паперових носіях і на електронному носії</w:t>
            </w:r>
          </w:p>
        </w:tc>
      </w:tr>
      <w:tr w:rsidR="009779B2" w:rsidRPr="00935689" w14:paraId="29E3E4DD" w14:textId="77777777" w:rsidTr="009779B2">
        <w:trPr>
          <w:trHeight w:val="1063"/>
        </w:trPr>
        <w:tc>
          <w:tcPr>
            <w:tcW w:w="243" w:type="pct"/>
          </w:tcPr>
          <w:p w14:paraId="00E6C074" w14:textId="77777777" w:rsidR="009779B2" w:rsidRPr="00935689" w:rsidRDefault="009779B2" w:rsidP="009779B2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0" w:type="pct"/>
          </w:tcPr>
          <w:p w14:paraId="2F71C6EF" w14:textId="56890A69" w:rsidR="009779B2" w:rsidRPr="009779B2" w:rsidRDefault="009779B2" w:rsidP="009779B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Проходження експертизи проекту</w:t>
            </w:r>
          </w:p>
        </w:tc>
        <w:tc>
          <w:tcPr>
            <w:tcW w:w="2776" w:type="pct"/>
            <w:vAlign w:val="center"/>
          </w:tcPr>
          <w:p w14:paraId="47DE4283" w14:textId="77777777" w:rsidR="009779B2" w:rsidRPr="009779B2" w:rsidRDefault="009779B2" w:rsidP="009779B2">
            <w:pPr>
              <w:tabs>
                <w:tab w:val="left" w:pos="63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Відповідно до Закону України "Про регулювання містобудівної діяльності" від 17 лютого 2011 року № 3038-VІ та Постанови КМУ  № 560 від 11.05.2011 р. (із змінами). Проектній організації виступити Замовником експертизи робочого проекту кошторисної частини. </w:t>
            </w:r>
          </w:p>
          <w:p w14:paraId="3AE9796C" w14:textId="6BFD6629" w:rsidR="009779B2" w:rsidRPr="009779B2" w:rsidRDefault="009779B2" w:rsidP="009779B2">
            <w:pPr>
              <w:tabs>
                <w:tab w:val="left" w:pos="63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Витрати на проведення експертизи передбачити в загальній вартості проектно-вишукувальних робіт</w:t>
            </w:r>
          </w:p>
        </w:tc>
      </w:tr>
      <w:tr w:rsidR="009779B2" w:rsidRPr="00935689" w14:paraId="70D39A42" w14:textId="77777777" w:rsidTr="009779B2">
        <w:trPr>
          <w:trHeight w:val="583"/>
        </w:trPr>
        <w:tc>
          <w:tcPr>
            <w:tcW w:w="243" w:type="pct"/>
          </w:tcPr>
          <w:p w14:paraId="26CFAC22" w14:textId="77777777" w:rsidR="009779B2" w:rsidRPr="00935689" w:rsidRDefault="009779B2" w:rsidP="009779B2">
            <w:pPr>
              <w:spacing w:after="0"/>
              <w:ind w:left="-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0" w:type="pct"/>
          </w:tcPr>
          <w:p w14:paraId="351CD2B0" w14:textId="0EA0DEEE" w:rsidR="009779B2" w:rsidRPr="00935689" w:rsidRDefault="009779B2" w:rsidP="0097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3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Інтелектуальні права</w:t>
            </w:r>
          </w:p>
        </w:tc>
        <w:tc>
          <w:tcPr>
            <w:tcW w:w="2776" w:type="pct"/>
          </w:tcPr>
          <w:p w14:paraId="2DCB71A5" w14:textId="0C7C7D04" w:rsidR="009779B2" w:rsidRPr="00935689" w:rsidRDefault="009779B2" w:rsidP="00F01A42">
            <w:pPr>
              <w:tabs>
                <w:tab w:val="left" w:pos="6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Інтелектуальні права на проект передати </w:t>
            </w:r>
            <w:r w:rsidR="00F01A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Замовнику.</w:t>
            </w:r>
          </w:p>
        </w:tc>
      </w:tr>
    </w:tbl>
    <w:p w14:paraId="00D1D595" w14:textId="77777777" w:rsidR="008B3D88" w:rsidRPr="00D86E22" w:rsidRDefault="008B3D88">
      <w:pPr>
        <w:rPr>
          <w:sz w:val="2"/>
        </w:rPr>
      </w:pPr>
    </w:p>
    <w:p w14:paraId="0F126E80" w14:textId="4B837162" w:rsidR="00CB5E9E" w:rsidRPr="0085203E" w:rsidRDefault="0085203E" w:rsidP="0085203E">
      <w:pPr>
        <w:pStyle w:val="af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52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Особливі вимоги до предмету закупівлі:</w:t>
      </w:r>
    </w:p>
    <w:p w14:paraId="140FC758" w14:textId="28F68E3E" w:rsidR="0085203E" w:rsidRDefault="0085203E" w:rsidP="0085203E">
      <w:pPr>
        <w:pStyle w:val="af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9A02704" w14:textId="5C0AF520" w:rsidR="0085203E" w:rsidRPr="00A04AFC" w:rsidRDefault="00986AD3" w:rsidP="0085203E">
      <w:pPr>
        <w:pStyle w:val="a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85203E" w:rsidRPr="008520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Строк виконання робіт</w:t>
      </w:r>
      <w:r w:rsidR="0085203E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70506712"/>
      <w:r w:rsidR="0085203E">
        <w:rPr>
          <w:rFonts w:ascii="Times New Roman" w:hAnsi="Times New Roman" w:cs="Times New Roman"/>
        </w:rPr>
        <w:t>д</w:t>
      </w:r>
      <w:r w:rsidR="0085203E" w:rsidRPr="00A04AFC">
        <w:rPr>
          <w:rFonts w:ascii="Times New Roman" w:hAnsi="Times New Roman" w:cs="Times New Roman"/>
        </w:rPr>
        <w:t xml:space="preserve">о </w:t>
      </w:r>
      <w:r w:rsidR="00515DDE">
        <w:rPr>
          <w:rFonts w:ascii="Times New Roman" w:hAnsi="Times New Roman" w:cs="Times New Roman"/>
        </w:rPr>
        <w:t>15 жовтня</w:t>
      </w:r>
      <w:r w:rsidR="0085203E" w:rsidRPr="00A04AFC">
        <w:rPr>
          <w:rFonts w:ascii="Times New Roman" w:hAnsi="Times New Roman" w:cs="Times New Roman"/>
        </w:rPr>
        <w:t xml:space="preserve"> 2022 року.</w:t>
      </w:r>
    </w:p>
    <w:p w14:paraId="26B0836F" w14:textId="07E7F27E" w:rsidR="0085203E" w:rsidRDefault="0085203E" w:rsidP="0085203E">
      <w:pPr>
        <w:pStyle w:val="af1"/>
        <w:jc w:val="both"/>
        <w:rPr>
          <w:rFonts w:ascii="Times New Roman" w:hAnsi="Times New Roman" w:cs="Times New Roman"/>
        </w:rPr>
      </w:pPr>
      <w:r w:rsidRPr="00A04AFC">
        <w:rPr>
          <w:rFonts w:ascii="Times New Roman" w:hAnsi="Times New Roman" w:cs="Times New Roman"/>
        </w:rPr>
        <w:t xml:space="preserve">До строку виконання робіт входить строк збору вихідних даних Замовником, </w:t>
      </w:r>
      <w:bookmarkStart w:id="1" w:name="_Hlk70507271"/>
      <w:r w:rsidRPr="00A04AFC">
        <w:rPr>
          <w:rFonts w:ascii="Times New Roman" w:hAnsi="Times New Roman" w:cs="Times New Roman"/>
        </w:rPr>
        <w:t>строк погодження проектних рішень із Замовником та зацікавленими установами та підприємствами</w:t>
      </w:r>
      <w:bookmarkEnd w:id="1"/>
      <w:r w:rsidRPr="00A04AFC">
        <w:rPr>
          <w:rFonts w:ascii="Times New Roman" w:hAnsi="Times New Roman" w:cs="Times New Roman"/>
        </w:rPr>
        <w:t xml:space="preserve"> та строк проведення експертизи Документації.</w:t>
      </w:r>
      <w:bookmarkEnd w:id="0"/>
    </w:p>
    <w:p w14:paraId="788F87E0" w14:textId="77777777" w:rsidR="0085203E" w:rsidRDefault="0085203E" w:rsidP="0085203E">
      <w:pPr>
        <w:pStyle w:val="af1"/>
        <w:jc w:val="both"/>
        <w:rPr>
          <w:rFonts w:ascii="Times New Roman" w:hAnsi="Times New Roman" w:cs="Times New Roman"/>
        </w:rPr>
      </w:pPr>
    </w:p>
    <w:p w14:paraId="3531E72D" w14:textId="26C5084D" w:rsidR="0085203E" w:rsidRPr="00315971" w:rsidRDefault="00665659" w:rsidP="0085203E">
      <w:pPr>
        <w:pStyle w:val="af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5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5203E" w:rsidRPr="00315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Порядок оплати:</w:t>
      </w:r>
    </w:p>
    <w:p w14:paraId="6AFA1717" w14:textId="46A3E4C7" w:rsidR="0085203E" w:rsidRDefault="00315971" w:rsidP="0085203E">
      <w:pPr>
        <w:pStyle w:val="af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5203E" w:rsidRPr="004F0440">
        <w:rPr>
          <w:rFonts w:ascii="Times New Roman" w:hAnsi="Times New Roman" w:cs="Times New Roman"/>
        </w:rPr>
        <w:t>.</w:t>
      </w:r>
      <w:r w:rsidR="0085203E">
        <w:rPr>
          <w:rFonts w:ascii="Times New Roman" w:hAnsi="Times New Roman" w:cs="Times New Roman"/>
        </w:rPr>
        <w:t>1</w:t>
      </w:r>
      <w:r w:rsidR="0085203E" w:rsidRPr="004F0440">
        <w:rPr>
          <w:rFonts w:ascii="Times New Roman" w:hAnsi="Times New Roman" w:cs="Times New Roman"/>
        </w:rPr>
        <w:t xml:space="preserve">. </w:t>
      </w:r>
      <w:r w:rsidR="0085203E" w:rsidRPr="00E206C8">
        <w:rPr>
          <w:rFonts w:ascii="Times New Roman" w:eastAsia="Times New Roman" w:hAnsi="Times New Roman" w:cs="Times New Roman"/>
        </w:rPr>
        <w:t xml:space="preserve">Розрахунки здійснюються шляхом безготівкового перерахування грошових коштів Замовником на поточний рахунок </w:t>
      </w:r>
      <w:r w:rsidR="0085203E">
        <w:rPr>
          <w:rFonts w:ascii="Times New Roman" w:eastAsia="Times New Roman" w:hAnsi="Times New Roman" w:cs="Times New Roman"/>
        </w:rPr>
        <w:t>Проектувальника</w:t>
      </w:r>
      <w:r w:rsidR="0085203E" w:rsidRPr="00E206C8">
        <w:rPr>
          <w:rFonts w:ascii="Times New Roman" w:eastAsia="Times New Roman" w:hAnsi="Times New Roman" w:cs="Times New Roman"/>
        </w:rPr>
        <w:t xml:space="preserve"> </w:t>
      </w:r>
      <w:r w:rsidR="0085203E">
        <w:rPr>
          <w:rFonts w:ascii="Times New Roman" w:hAnsi="Times New Roman" w:cs="Times New Roman"/>
        </w:rPr>
        <w:t>відповідно до К</w:t>
      </w:r>
      <w:r w:rsidR="0085203E" w:rsidRPr="004F0440">
        <w:rPr>
          <w:rFonts w:ascii="Times New Roman" w:hAnsi="Times New Roman" w:cs="Times New Roman"/>
        </w:rPr>
        <w:t xml:space="preserve">алендарного плану виконання робіт </w:t>
      </w:r>
      <w:r w:rsidR="0085203E">
        <w:rPr>
          <w:rFonts w:ascii="Times New Roman" w:hAnsi="Times New Roman" w:cs="Times New Roman"/>
        </w:rPr>
        <w:t>у наступному порядку</w:t>
      </w:r>
      <w:r w:rsidR="0085203E">
        <w:rPr>
          <w:rFonts w:ascii="Times New Roman" w:eastAsia="Times New Roman" w:hAnsi="Times New Roman" w:cs="Times New Roman"/>
        </w:rPr>
        <w:t>:</w:t>
      </w:r>
    </w:p>
    <w:p w14:paraId="2A30E65A" w14:textId="0897C388" w:rsidR="0085203E" w:rsidRDefault="00315971" w:rsidP="0085203E">
      <w:pPr>
        <w:pStyle w:val="af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</w:t>
      </w:r>
      <w:r w:rsidR="0085203E">
        <w:rPr>
          <w:rFonts w:ascii="Times New Roman" w:eastAsia="Times New Roman" w:hAnsi="Times New Roman" w:cs="Times New Roman"/>
        </w:rPr>
        <w:t xml:space="preserve">. </w:t>
      </w:r>
      <w:r w:rsidR="0085203E" w:rsidRPr="00E206C8">
        <w:rPr>
          <w:rFonts w:ascii="Times New Roman" w:hAnsi="Times New Roman" w:cs="Times New Roman"/>
        </w:rPr>
        <w:t xml:space="preserve">Замовник перераховує </w:t>
      </w:r>
      <w:r w:rsidR="0085203E">
        <w:rPr>
          <w:rFonts w:ascii="Times New Roman" w:hAnsi="Times New Roman" w:cs="Times New Roman"/>
        </w:rPr>
        <w:t>Проектувальнику</w:t>
      </w:r>
      <w:r w:rsidR="0085203E" w:rsidRPr="00E206C8">
        <w:rPr>
          <w:rFonts w:ascii="Times New Roman" w:hAnsi="Times New Roman" w:cs="Times New Roman"/>
        </w:rPr>
        <w:t xml:space="preserve"> платіж в розмірі </w:t>
      </w:r>
      <w:r w:rsidR="008323F6">
        <w:rPr>
          <w:rFonts w:ascii="Times New Roman" w:hAnsi="Times New Roman" w:cs="Times New Roman"/>
        </w:rPr>
        <w:t>10</w:t>
      </w:r>
      <w:r w:rsidR="0085203E">
        <w:rPr>
          <w:rFonts w:ascii="Times New Roman" w:hAnsi="Times New Roman" w:cs="Times New Roman"/>
        </w:rPr>
        <w:t>0%</w:t>
      </w:r>
      <w:r w:rsidR="0085203E" w:rsidRPr="00E206C8">
        <w:rPr>
          <w:rFonts w:ascii="Times New Roman" w:hAnsi="Times New Roman" w:cs="Times New Roman"/>
        </w:rPr>
        <w:t xml:space="preserve"> від вартості Робіт</w:t>
      </w:r>
      <w:r w:rsidR="0085203E">
        <w:rPr>
          <w:rFonts w:ascii="Times New Roman" w:hAnsi="Times New Roman" w:cs="Times New Roman"/>
        </w:rPr>
        <w:t xml:space="preserve"> відповідно </w:t>
      </w:r>
      <w:r w:rsidR="008323F6">
        <w:rPr>
          <w:rFonts w:ascii="Times New Roman" w:hAnsi="Times New Roman" w:cs="Times New Roman"/>
        </w:rPr>
        <w:t xml:space="preserve">через </w:t>
      </w:r>
      <w:r w:rsidR="0085203E" w:rsidRPr="00E206C8">
        <w:rPr>
          <w:rFonts w:ascii="Times New Roman" w:hAnsi="Times New Roman" w:cs="Times New Roman"/>
        </w:rPr>
        <w:t xml:space="preserve">5 (п’ять) банківських днів </w:t>
      </w:r>
      <w:r w:rsidR="0085203E" w:rsidRPr="004F0440">
        <w:rPr>
          <w:rFonts w:ascii="Times New Roman" w:hAnsi="Times New Roman" w:cs="Times New Roman"/>
        </w:rPr>
        <w:t xml:space="preserve">після підписання Сторонами акту </w:t>
      </w:r>
      <w:r w:rsidR="0085203E">
        <w:rPr>
          <w:rFonts w:ascii="Times New Roman" w:hAnsi="Times New Roman" w:cs="Times New Roman"/>
        </w:rPr>
        <w:t xml:space="preserve">приймання-передачі </w:t>
      </w:r>
      <w:r w:rsidR="0085203E" w:rsidRPr="004F0440">
        <w:rPr>
          <w:rFonts w:ascii="Times New Roman" w:hAnsi="Times New Roman" w:cs="Times New Roman"/>
        </w:rPr>
        <w:t>виконан</w:t>
      </w:r>
      <w:r w:rsidR="00721823">
        <w:rPr>
          <w:rFonts w:ascii="Times New Roman" w:hAnsi="Times New Roman" w:cs="Times New Roman"/>
        </w:rPr>
        <w:t xml:space="preserve">их </w:t>
      </w:r>
      <w:r w:rsidR="0085203E" w:rsidRPr="004F0440">
        <w:rPr>
          <w:rFonts w:ascii="Times New Roman" w:hAnsi="Times New Roman" w:cs="Times New Roman"/>
        </w:rPr>
        <w:t>робіт</w:t>
      </w:r>
      <w:r w:rsidR="0085203E">
        <w:rPr>
          <w:rFonts w:ascii="Times New Roman" w:hAnsi="Times New Roman" w:cs="Times New Roman"/>
        </w:rPr>
        <w:t xml:space="preserve">. </w:t>
      </w:r>
    </w:p>
    <w:p w14:paraId="78B2B8E6" w14:textId="77777777" w:rsidR="0085203E" w:rsidRPr="0085203E" w:rsidRDefault="0085203E" w:rsidP="0085203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sectPr w:rsidR="0085203E" w:rsidRPr="0085203E" w:rsidSect="00935689">
      <w:headerReference w:type="default" r:id="rId8"/>
      <w:footerReference w:type="default" r:id="rId9"/>
      <w:pgSz w:w="11909" w:h="16834"/>
      <w:pgMar w:top="709" w:right="662" w:bottom="284" w:left="1157" w:header="170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817C" w14:textId="77777777" w:rsidR="00704D3F" w:rsidRDefault="00704D3F" w:rsidP="00224756">
      <w:pPr>
        <w:spacing w:after="0" w:line="240" w:lineRule="auto"/>
      </w:pPr>
      <w:r>
        <w:separator/>
      </w:r>
    </w:p>
  </w:endnote>
  <w:endnote w:type="continuationSeparator" w:id="0">
    <w:p w14:paraId="5371929B" w14:textId="77777777" w:rsidR="00704D3F" w:rsidRDefault="00704D3F" w:rsidP="0022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7068" w14:textId="77777777" w:rsidR="00826F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FD61" w14:textId="77777777" w:rsidR="00704D3F" w:rsidRDefault="00704D3F" w:rsidP="00224756">
      <w:pPr>
        <w:spacing w:after="0" w:line="240" w:lineRule="auto"/>
      </w:pPr>
      <w:r>
        <w:separator/>
      </w:r>
    </w:p>
  </w:footnote>
  <w:footnote w:type="continuationSeparator" w:id="0">
    <w:p w14:paraId="6C27BCC5" w14:textId="77777777" w:rsidR="00704D3F" w:rsidRDefault="00704D3F" w:rsidP="0022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CEE5" w14:textId="77777777" w:rsidR="00826F44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18"/>
        <w:szCs w:val="18"/>
      </w:rPr>
    </w:pPr>
  </w:p>
  <w:p w14:paraId="188B2389" w14:textId="77777777" w:rsidR="00826F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1B51"/>
    <w:multiLevelType w:val="multilevel"/>
    <w:tmpl w:val="363E4A06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D04781"/>
    <w:multiLevelType w:val="hybridMultilevel"/>
    <w:tmpl w:val="EBF6FFB2"/>
    <w:lvl w:ilvl="0" w:tplc="31C83C1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71E0"/>
    <w:multiLevelType w:val="hybridMultilevel"/>
    <w:tmpl w:val="C5F2487E"/>
    <w:lvl w:ilvl="0" w:tplc="30C417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A23E97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93F2D"/>
    <w:multiLevelType w:val="hybridMultilevel"/>
    <w:tmpl w:val="D67627F0"/>
    <w:lvl w:ilvl="0" w:tplc="30C417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43100">
    <w:abstractNumId w:val="3"/>
  </w:num>
  <w:num w:numId="2" w16cid:durableId="1585723148">
    <w:abstractNumId w:val="2"/>
  </w:num>
  <w:num w:numId="3" w16cid:durableId="156195465">
    <w:abstractNumId w:val="0"/>
  </w:num>
  <w:num w:numId="4" w16cid:durableId="72333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93"/>
    <w:rsid w:val="00007F78"/>
    <w:rsid w:val="000112DD"/>
    <w:rsid w:val="00017A7F"/>
    <w:rsid w:val="0002290B"/>
    <w:rsid w:val="00033CEE"/>
    <w:rsid w:val="000362DA"/>
    <w:rsid w:val="000434A2"/>
    <w:rsid w:val="00067FD7"/>
    <w:rsid w:val="000808A5"/>
    <w:rsid w:val="00090914"/>
    <w:rsid w:val="000A0207"/>
    <w:rsid w:val="000A3D74"/>
    <w:rsid w:val="000B6EF3"/>
    <w:rsid w:val="000D4C99"/>
    <w:rsid w:val="00135B00"/>
    <w:rsid w:val="00147BCD"/>
    <w:rsid w:val="001508A2"/>
    <w:rsid w:val="001531B6"/>
    <w:rsid w:val="00155BC8"/>
    <w:rsid w:val="001621F6"/>
    <w:rsid w:val="00171940"/>
    <w:rsid w:val="001A150D"/>
    <w:rsid w:val="001F6046"/>
    <w:rsid w:val="002010C1"/>
    <w:rsid w:val="00216E3C"/>
    <w:rsid w:val="002174CD"/>
    <w:rsid w:val="00221591"/>
    <w:rsid w:val="00224756"/>
    <w:rsid w:val="00233162"/>
    <w:rsid w:val="002344FD"/>
    <w:rsid w:val="00242717"/>
    <w:rsid w:val="00271024"/>
    <w:rsid w:val="00274B08"/>
    <w:rsid w:val="00285435"/>
    <w:rsid w:val="0029213B"/>
    <w:rsid w:val="002B0C0B"/>
    <w:rsid w:val="002B13CA"/>
    <w:rsid w:val="002C4290"/>
    <w:rsid w:val="002D55B6"/>
    <w:rsid w:val="002E0973"/>
    <w:rsid w:val="002E0991"/>
    <w:rsid w:val="002E699A"/>
    <w:rsid w:val="0030654E"/>
    <w:rsid w:val="00310B00"/>
    <w:rsid w:val="00315971"/>
    <w:rsid w:val="003573FD"/>
    <w:rsid w:val="00364D5A"/>
    <w:rsid w:val="003768BD"/>
    <w:rsid w:val="00383965"/>
    <w:rsid w:val="003A6897"/>
    <w:rsid w:val="00404BD1"/>
    <w:rsid w:val="0041667F"/>
    <w:rsid w:val="004823FB"/>
    <w:rsid w:val="004844F3"/>
    <w:rsid w:val="004A7A1F"/>
    <w:rsid w:val="00505E94"/>
    <w:rsid w:val="00515DDE"/>
    <w:rsid w:val="00551B1B"/>
    <w:rsid w:val="00587E18"/>
    <w:rsid w:val="005934B5"/>
    <w:rsid w:val="005B5E1A"/>
    <w:rsid w:val="005D1026"/>
    <w:rsid w:val="005E033F"/>
    <w:rsid w:val="005F2114"/>
    <w:rsid w:val="005F5023"/>
    <w:rsid w:val="00612C11"/>
    <w:rsid w:val="00632AEF"/>
    <w:rsid w:val="00635CCB"/>
    <w:rsid w:val="0066436D"/>
    <w:rsid w:val="00665659"/>
    <w:rsid w:val="0067564A"/>
    <w:rsid w:val="006918E5"/>
    <w:rsid w:val="00693054"/>
    <w:rsid w:val="006B0B46"/>
    <w:rsid w:val="006B39AF"/>
    <w:rsid w:val="006B7053"/>
    <w:rsid w:val="006D62C0"/>
    <w:rsid w:val="006F2D89"/>
    <w:rsid w:val="006F41C4"/>
    <w:rsid w:val="00704D3F"/>
    <w:rsid w:val="00721823"/>
    <w:rsid w:val="00735AB7"/>
    <w:rsid w:val="0077136F"/>
    <w:rsid w:val="00792A2B"/>
    <w:rsid w:val="007A0283"/>
    <w:rsid w:val="007B23C0"/>
    <w:rsid w:val="007B2C87"/>
    <w:rsid w:val="007D21FA"/>
    <w:rsid w:val="007D5475"/>
    <w:rsid w:val="007D67F5"/>
    <w:rsid w:val="007E64E7"/>
    <w:rsid w:val="0080583A"/>
    <w:rsid w:val="008178C1"/>
    <w:rsid w:val="00826C0B"/>
    <w:rsid w:val="008323F6"/>
    <w:rsid w:val="00851B01"/>
    <w:rsid w:val="0085203E"/>
    <w:rsid w:val="0085683F"/>
    <w:rsid w:val="00861095"/>
    <w:rsid w:val="0086732C"/>
    <w:rsid w:val="00867A93"/>
    <w:rsid w:val="00877C25"/>
    <w:rsid w:val="00896BB0"/>
    <w:rsid w:val="008A73F1"/>
    <w:rsid w:val="008B052E"/>
    <w:rsid w:val="008B3D88"/>
    <w:rsid w:val="008D2234"/>
    <w:rsid w:val="008E2263"/>
    <w:rsid w:val="008E6F1B"/>
    <w:rsid w:val="00910E07"/>
    <w:rsid w:val="009156F7"/>
    <w:rsid w:val="00935689"/>
    <w:rsid w:val="00954795"/>
    <w:rsid w:val="00956D84"/>
    <w:rsid w:val="00965C47"/>
    <w:rsid w:val="009779B2"/>
    <w:rsid w:val="00986AD3"/>
    <w:rsid w:val="009A6D71"/>
    <w:rsid w:val="009B3036"/>
    <w:rsid w:val="009D2E9D"/>
    <w:rsid w:val="009D43A3"/>
    <w:rsid w:val="009D54EE"/>
    <w:rsid w:val="009D7DF0"/>
    <w:rsid w:val="009E5E6E"/>
    <w:rsid w:val="009F3534"/>
    <w:rsid w:val="00A07387"/>
    <w:rsid w:val="00A172C9"/>
    <w:rsid w:val="00A2221C"/>
    <w:rsid w:val="00A239B3"/>
    <w:rsid w:val="00A4457D"/>
    <w:rsid w:val="00A910F4"/>
    <w:rsid w:val="00A940FE"/>
    <w:rsid w:val="00AC6143"/>
    <w:rsid w:val="00AD439B"/>
    <w:rsid w:val="00AD549D"/>
    <w:rsid w:val="00AE1162"/>
    <w:rsid w:val="00AF7877"/>
    <w:rsid w:val="00B20614"/>
    <w:rsid w:val="00B23829"/>
    <w:rsid w:val="00B534CF"/>
    <w:rsid w:val="00B5382E"/>
    <w:rsid w:val="00B6662C"/>
    <w:rsid w:val="00B7102D"/>
    <w:rsid w:val="00B8022E"/>
    <w:rsid w:val="00B96B5F"/>
    <w:rsid w:val="00BA0F64"/>
    <w:rsid w:val="00BA3A6B"/>
    <w:rsid w:val="00BB479A"/>
    <w:rsid w:val="00BC5BCC"/>
    <w:rsid w:val="00BE523F"/>
    <w:rsid w:val="00BE6EEA"/>
    <w:rsid w:val="00C100DC"/>
    <w:rsid w:val="00C67340"/>
    <w:rsid w:val="00C67D86"/>
    <w:rsid w:val="00C8167E"/>
    <w:rsid w:val="00C860DB"/>
    <w:rsid w:val="00C87F60"/>
    <w:rsid w:val="00CB4720"/>
    <w:rsid w:val="00D05026"/>
    <w:rsid w:val="00D2653F"/>
    <w:rsid w:val="00D37BAC"/>
    <w:rsid w:val="00D4520B"/>
    <w:rsid w:val="00D47AEC"/>
    <w:rsid w:val="00D51396"/>
    <w:rsid w:val="00D566AB"/>
    <w:rsid w:val="00D86E22"/>
    <w:rsid w:val="00DA7C1B"/>
    <w:rsid w:val="00DC5775"/>
    <w:rsid w:val="00DD5AC5"/>
    <w:rsid w:val="00DF270D"/>
    <w:rsid w:val="00DF30DF"/>
    <w:rsid w:val="00E04C3F"/>
    <w:rsid w:val="00E06606"/>
    <w:rsid w:val="00E07AFE"/>
    <w:rsid w:val="00E206A6"/>
    <w:rsid w:val="00E2123B"/>
    <w:rsid w:val="00E43307"/>
    <w:rsid w:val="00E50FBF"/>
    <w:rsid w:val="00E616C1"/>
    <w:rsid w:val="00E629DB"/>
    <w:rsid w:val="00E644F7"/>
    <w:rsid w:val="00EA2D41"/>
    <w:rsid w:val="00EB2546"/>
    <w:rsid w:val="00EC2EB0"/>
    <w:rsid w:val="00EC7291"/>
    <w:rsid w:val="00EE1552"/>
    <w:rsid w:val="00EE1896"/>
    <w:rsid w:val="00EE7F70"/>
    <w:rsid w:val="00EF7028"/>
    <w:rsid w:val="00F0062D"/>
    <w:rsid w:val="00F01A42"/>
    <w:rsid w:val="00F06CD4"/>
    <w:rsid w:val="00F1562E"/>
    <w:rsid w:val="00F209B4"/>
    <w:rsid w:val="00F56707"/>
    <w:rsid w:val="00F9070E"/>
    <w:rsid w:val="00F966DE"/>
    <w:rsid w:val="00FA0CBF"/>
    <w:rsid w:val="00FA15BE"/>
    <w:rsid w:val="00FA6809"/>
    <w:rsid w:val="00FB7ADF"/>
    <w:rsid w:val="00FC3EA8"/>
    <w:rsid w:val="00FC6A3B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764C"/>
  <w15:docId w15:val="{FA54A537-D655-4B5A-9DCE-A1A4CD73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A93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A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67A93"/>
    <w:rPr>
      <w:rFonts w:ascii="Calibri" w:eastAsia="Calibri" w:hAnsi="Calibri" w:cs="Calibri"/>
      <w:lang w:eastAsia="uk-UA"/>
    </w:rPr>
  </w:style>
  <w:style w:type="paragraph" w:styleId="a5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 w:eastAsia="en-US"/>
    </w:rPr>
  </w:style>
  <w:style w:type="character" w:styleId="a6">
    <w:name w:val="Hyperlink"/>
    <w:uiPriority w:val="99"/>
    <w:unhideWhenUsed/>
    <w:rsid w:val="00867A9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7D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5475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E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E033F"/>
    <w:rPr>
      <w:rFonts w:ascii="Segoe UI" w:eastAsia="Calibri" w:hAnsi="Segoe UI" w:cs="Segoe UI"/>
      <w:sz w:val="18"/>
      <w:szCs w:val="18"/>
      <w:lang w:eastAsia="uk-UA"/>
    </w:rPr>
  </w:style>
  <w:style w:type="character" w:styleId="ab">
    <w:name w:val="annotation reference"/>
    <w:basedOn w:val="a0"/>
    <w:uiPriority w:val="99"/>
    <w:semiHidden/>
    <w:unhideWhenUsed/>
    <w:rsid w:val="00632A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AE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32AEF"/>
    <w:rPr>
      <w:rFonts w:ascii="Calibri" w:eastAsia="Calibri" w:hAnsi="Calibri" w:cs="Calibri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AE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32AEF"/>
    <w:rPr>
      <w:rFonts w:ascii="Calibri" w:eastAsia="Calibri" w:hAnsi="Calibri" w:cs="Calibri"/>
      <w:b/>
      <w:bCs/>
      <w:sz w:val="20"/>
      <w:szCs w:val="20"/>
      <w:lang w:eastAsia="uk-UA"/>
    </w:rPr>
  </w:style>
  <w:style w:type="table" w:styleId="af0">
    <w:name w:val="Table Grid"/>
    <w:basedOn w:val="a1"/>
    <w:uiPriority w:val="59"/>
    <w:rsid w:val="00B5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qFormat/>
    <w:rsid w:val="0085203E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FontStyle11">
    <w:name w:val="Font Style11"/>
    <w:uiPriority w:val="99"/>
    <w:rsid w:val="0085203E"/>
    <w:rPr>
      <w:rFonts w:ascii="Times New Roman" w:hAnsi="Times New Roman" w:cs="Times New Roman"/>
      <w:b/>
      <w:bCs/>
      <w:sz w:val="16"/>
      <w:szCs w:val="16"/>
    </w:rPr>
  </w:style>
  <w:style w:type="character" w:styleId="af3">
    <w:name w:val="Emphasis"/>
    <w:basedOn w:val="a0"/>
    <w:uiPriority w:val="20"/>
    <w:qFormat/>
    <w:rsid w:val="00E06606"/>
    <w:rPr>
      <w:i/>
      <w:iCs/>
    </w:rPr>
  </w:style>
  <w:style w:type="character" w:customStyle="1" w:styleId="af2">
    <w:name w:val="Без інтервалів Знак"/>
    <w:link w:val="af1"/>
    <w:rsid w:val="00285435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EF3E-8097-447B-8BF1-5FC9B8BF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3929</Words>
  <Characters>2241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kostyuk</dc:creator>
  <cp:lastModifiedBy>Юрій Забара</cp:lastModifiedBy>
  <cp:revision>2</cp:revision>
  <cp:lastPrinted>2021-09-17T07:01:00Z</cp:lastPrinted>
  <dcterms:created xsi:type="dcterms:W3CDTF">2022-09-02T14:30:00Z</dcterms:created>
  <dcterms:modified xsi:type="dcterms:W3CDTF">2022-09-02T14:30:00Z</dcterms:modified>
</cp:coreProperties>
</file>